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c="http://schemas.openxmlformats.org/drawingml/2006/chart" mc:Ignorable="w14 wp14">
  <w:body>
    <w:p w:rsidRPr="00296DE9" w:rsidR="00C30C11" w:rsidP="003F55B7" w:rsidRDefault="00C30C11" w14:paraId="4BB61D20">
      <w:pPr>
        <w:pStyle w:val="Heading1"/>
        <w:spacing w:after="0"/>
        <w:rPr>
          <w:lang w:val="hr-HR"/>
        </w:rPr>
      </w:pPr>
      <w:bookmarkStart w:name="_Toc293339559" w:id="0"/>
      <w:r w:rsidRPr="00296DE9">
        <w:rPr>
          <w:lang w:val="hr-HR"/>
        </w:rPr>
        <w:lastRenderedPageBreak/>
        <w:t>Uvod – Metodološki okvir</w:t>
      </w:r>
      <w:bookmarkEnd w:id="0"/>
    </w:p>
    <w:p w:rsidRPr="00296DE9" w:rsidR="0060303D" w:rsidP="0060303D" w:rsidRDefault="0060303D" w14:paraId="476F3BDC"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w:rsidRPr="00296DE9" w:rsidR="0060303D" w:rsidP="005D2262" w:rsidRDefault="0060303D" w14:paraId="773C1F45"/>
    <w:p w:rsidRPr="00296DE9" w:rsidR="005D2262" w:rsidP="005D2262" w:rsidRDefault="0025294A" w14:paraId="3895A5DC">
      <w:r>
        <w:pict w14:anchorId="5CE41B06">
          <v:group id="_x0000_s2511" style="width:453.6pt;height:444.9pt;mso-position-horizontal-relative:char;mso-position-vertical-relative:line" coordsize="9072,8898" coordorigin="1417,4482" editas="canvas">
            <o:lock v:ext="edit" aspectratio="t"/>
            <v:shapetype id="_x0000_t75" coordsize="21600,21600" filled="f" stroked="f" o:spt="75" o:preferrelative="t" path="m@4@5l@4@11@9@11@9@5xe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gradientshapeok="t" o:connecttype="rect" o:extrusionok="f"/>
              <o:lock v:ext="edit" aspectratio="t"/>
            </v:shapetype>
            <v:shape id="_x0000_s2510" style="position:absolute;left:1417;top:4482;width:9072;height:8898" o:preferrelative="f" type="#_x0000_t75">
              <v:fill o:detectmouseclick="t"/>
              <v:path o:connecttype="none" o:extrusionok="t"/>
              <o:lock v:ext="edit" text="t"/>
            </v:shape>
            <v:rect id="_x0000_s2512" style="position:absolute;left:4757;top:4875;width:3810;height:840">
              <v:textbox>
                <w:txbxContent>
                  <w:p w:rsidRPr="005D2262" w:rsidR="00052908" w:rsidP="005D2262" w:rsidRDefault="00052908" w14:paraId="6FCBD563">
                    <w:pPr>
                      <w:jc w:val="center"/>
                      <w:rPr>
                        <w:sz w:val="20"/>
                        <w:lang w:val="bs-Latn-BA"/>
                      </w:rPr>
                    </w:pPr>
                    <w:r w:rsidRPr="005D2262">
                      <w:rPr>
                        <w:sz w:val="20"/>
                        <w:lang w:val="bs-Latn-BA"/>
                      </w:rPr>
                      <w:t>Razumijevanje pojma i značaja  „digitalna dividenda“ sa teoretskog aspekta</w:t>
                    </w:r>
                  </w:p>
                </w:txbxContent>
              </v:textbox>
            </v:rect>
            <v:rect id="_x0000_s2513" style="position:absolute;left:4757;top:6120;width:3810;height:690">
              <v:textbox>
                <w:txbxContent>
                  <w:p w:rsidRPr="005D2262" w:rsidR="00052908" w:rsidP="005D2262" w:rsidRDefault="00052908" w14:paraId="6AEB0A9E">
                    <w:pPr>
                      <w:jc w:val="center"/>
                      <w:rPr>
                        <w:sz w:val="20"/>
                        <w:lang w:val="bs-Latn-BA"/>
                      </w:rPr>
                    </w:pPr>
                    <w:r>
                      <w:rPr>
                        <w:sz w:val="20"/>
                        <w:lang w:val="bs-Latn-BA"/>
                      </w:rPr>
                      <w:t xml:space="preserve">Iskustva zemalja članica Evropske unije </w:t>
                    </w:r>
                  </w:p>
                </w:txbxContent>
              </v:textbox>
            </v:rect>
            <v:rect id="_x0000_s2514" style="position:absolute;left:1665;top:7695;width:2355;height:1486">
              <v:textbox>
                <w:txbxContent>
                  <w:p w:rsidRPr="005D2262" w:rsidR="00052908" w:rsidP="005D2262" w:rsidRDefault="00052908" w14:paraId="1497168D">
                    <w:pPr>
                      <w:jc w:val="center"/>
                      <w:rPr>
                        <w:sz w:val="20"/>
                        <w:lang w:val="bs-Latn-BA"/>
                      </w:rPr>
                    </w:pPr>
                    <w:r>
                      <w:rPr>
                        <w:sz w:val="20"/>
                        <w:lang w:val="bs-Latn-BA"/>
                      </w:rPr>
                      <w:t>Digitalna dividenda kao način rješavanja nedostatka usluga u ruralnim sredinama?</w:t>
                    </w:r>
                  </w:p>
                </w:txbxContent>
              </v:textbox>
            </v:rect>
            <v:rect id="_x0000_s2515" style="position:absolute;left:6675;top:7695;width:2565;height:1486">
              <v:textbox>
                <w:txbxContent>
                  <w:p w:rsidRPr="005D2262" w:rsidR="00052908" w:rsidP="005D2262" w:rsidRDefault="00052908" w14:paraId="5DACB67F">
                    <w:pPr>
                      <w:jc w:val="center"/>
                      <w:rPr>
                        <w:sz w:val="20"/>
                        <w:lang w:val="bs-Latn-BA"/>
                      </w:rPr>
                    </w:pPr>
                    <w:r>
                      <w:rPr>
                        <w:sz w:val="20"/>
                        <w:lang w:val="bs-Latn-BA"/>
                      </w:rPr>
                      <w:t>Identifikacija potencijalnih korisnika ovog dijela spektra, te analiza njihove zainteresovanosti</w:t>
                    </w:r>
                  </w:p>
                </w:txbxContent>
              </v:textbox>
            </v:re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_x0000_s2516" style="position:absolute;left:2843;top:6810;width:3819;height:885;flip:x" o:connectortype="straight" type="#_x0000_t32">
              <v:stroke endarrow="block"/>
            </v:shape>
            <v:shape id="_x0000_s2517" style="position:absolute;left:6662;top:6810;width:1296;height:885" o:connectortype="straight" type="#_x0000_t32">
              <v:stroke endarrow="block"/>
            </v:shape>
            <v:shape id="_x0000_s2518" style="position:absolute;left:4021;top:9181;width:3937;height:929;flip:x" o:connectortype="straight" type="#_x0000_t32">
              <v:stroke endarrow="block"/>
            </v:shape>
            <v:rect id="_x0000_s2519" style="position:absolute;left:2843;top:10110;width:2355;height:855">
              <v:textbox>
                <w:txbxContent>
                  <w:p w:rsidRPr="005D2262" w:rsidR="00052908" w:rsidP="00E83E7A" w:rsidRDefault="00052908" w14:paraId="31B198CE">
                    <w:pPr>
                      <w:jc w:val="center"/>
                      <w:rPr>
                        <w:sz w:val="20"/>
                        <w:lang w:val="bs-Latn-BA"/>
                      </w:rPr>
                    </w:pPr>
                    <w:r>
                      <w:rPr>
                        <w:sz w:val="20"/>
                        <w:lang w:val="bs-Latn-BA"/>
                      </w:rPr>
                      <w:t>Novi stvaraoci RTV sadržaja</w:t>
                    </w:r>
                  </w:p>
                </w:txbxContent>
              </v:textbox>
            </v:rect>
            <v:rect id="_x0000_s2520" style="position:absolute;left:7553;top:9705;width:2355;height:855">
              <v:textbox>
                <w:txbxContent>
                  <w:p w:rsidRPr="005D2262" w:rsidR="00052908" w:rsidP="00E83E7A" w:rsidRDefault="00052908" w14:paraId="72A0A387">
                    <w:pPr>
                      <w:jc w:val="center"/>
                      <w:rPr>
                        <w:sz w:val="20"/>
                        <w:lang w:val="bs-Latn-BA"/>
                      </w:rPr>
                    </w:pPr>
                    <w:r>
                      <w:rPr>
                        <w:sz w:val="20"/>
                        <w:lang w:val="bs-Latn-BA"/>
                      </w:rPr>
                      <w:t>Novi (postojeći) mobilni operateri</w:t>
                    </w:r>
                  </w:p>
                </w:txbxContent>
              </v:textbox>
            </v:rect>
            <v:shape id="_x0000_s2521" style="position:absolute;left:7958;top:9181;width:773;height:524" o:connectortype="straight" type="#_x0000_t32">
              <v:stroke endarrow="block"/>
            </v:shape>
            <v:shape id="_x0000_s2522" style="position:absolute;left:8415;top:10560;width:867;height:824" o:connectortype="straight" type="#_x0000_t32">
              <v:stroke endarrow="block"/>
            </v:shape>
            <v:shape id="_x0000_s2523" style="position:absolute;left:6376;top:10560;width:2039;height:824;flip:x" o:connectortype="straight" type="#_x0000_t32">
              <v:stroke endarrow="block"/>
            </v:shape>
            <v:rect id="_x0000_s2526" style="position:absolute;left:5198;top:11384;width:2355;height:1456">
              <v:textbox>
                <w:txbxContent>
                  <w:p w:rsidRPr="005D2262" w:rsidR="00052908" w:rsidP="00E83E7A" w:rsidRDefault="00052908" w14:paraId="4473B3ED">
                    <w:pPr>
                      <w:jc w:val="center"/>
                      <w:rPr>
                        <w:sz w:val="20"/>
                        <w:lang w:val="bs-Latn-BA"/>
                      </w:rPr>
                    </w:pPr>
                    <w:r>
                      <w:rPr>
                        <w:sz w:val="20"/>
                        <w:lang w:val="bs-Latn-BA"/>
                      </w:rPr>
                      <w:t>Model za procjenu vrijednost koju mobilni operateri trebaju platiti za korištenje spektra</w:t>
                    </w:r>
                  </w:p>
                </w:txbxContent>
              </v:textbox>
            </v:rect>
            <v:rect id="_x0000_s2527" style="position:absolute;left:7958;top:11384;width:2355;height:1456">
              <v:textbox>
                <w:txbxContent>
                  <w:p w:rsidRPr="005D2262" w:rsidR="00052908" w:rsidP="00E83E7A" w:rsidRDefault="00052908" w14:paraId="51FFCB83">
                    <w:pPr>
                      <w:jc w:val="center"/>
                      <w:rPr>
                        <w:sz w:val="20"/>
                        <w:lang w:val="bs-Latn-BA"/>
                      </w:rPr>
                    </w:pPr>
                    <w:r>
                      <w:rPr>
                        <w:sz w:val="20"/>
                        <w:lang w:val="bs-Latn-BA"/>
                      </w:rPr>
                      <w:t>Uslovi koji moraju postojati za korištenje frekvencija iz opsega digitalne dividende</w:t>
                    </w:r>
                  </w:p>
                </w:txbxContent>
              </v:textbox>
            </v:rect>
            <v:shape id="_x0000_s2531" style="position:absolute;left:6662;top:5715;width:1;height:405" o:connectortype="straight" type="#_x0000_t32">
              <v:stroke endarrow="block"/>
            </v:shape>
            <v:rect id="_x0000_s5280" style="position:absolute;left:1961;top:5276;width:1756;height:988" fillcolor="black [3213]">
              <v:textbox>
                <w:txbxContent>
                  <w:p w:rsidRPr="005D2262" w:rsidR="00052908" w:rsidP="005D2262" w:rsidRDefault="00052908" w14:paraId="5810DD12">
                    <w:pPr>
                      <w:jc w:val="center"/>
                      <w:rPr>
                        <w:sz w:val="20"/>
                        <w:lang w:val="bs-Latn-BA"/>
                      </w:rPr>
                    </w:pPr>
                    <w:r>
                      <w:rPr>
                        <w:sz w:val="20"/>
                        <w:lang w:val="bs-Latn-BA"/>
                      </w:rPr>
                      <w:t>DOKUMENT BROJ 1</w:t>
                    </w:r>
                  </w:p>
                </w:txbxContent>
              </v:textbox>
            </v:rect>
            <v:shape id="_x0000_s5281" style="position:absolute;left:2839;top:6264;width:4;height:1431" o:connectortype="straight" type="#_x0000_t32">
              <v:stroke endarrow="block"/>
            </v:shape>
            <w10:wrap type="none"/>
            <w10:anchorlock/>
          </v:group>
        </w:pict>
      </w:r>
    </w:p>
    <w:p w:rsidRPr="00296DE9" w:rsidR="00E83E7A" w:rsidP="00E83E7A" w:rsidRDefault="00E83E7A" w14:paraId="08B7B67D" w14:textId="386523CA">
      <w:pPr>
        <w:spacing w:before="0"/>
        <w:jc w:val="center"/>
        <w:rPr>
          <w:sz w:val="20"/>
        </w:rPr>
      </w:pPr>
      <w:r w:rsidRPr="386523CA" w:rsidR="386523CA">
        <w:rPr>
          <w:b w:val="1"/>
          <w:bCs w:val="1"/>
          <w:sz w:val="20"/>
          <w:szCs w:val="20"/>
        </w:rPr>
        <w:t>Slika 1:</w:t>
      </w:r>
      <w:r w:rsidRPr="386523CA" w:rsidR="386523CA">
        <w:rPr>
          <w:sz w:val="20"/>
          <w:szCs w:val="20"/>
        </w:rPr>
        <w:t xml:space="preserve"> Metodološki okvir </w:t>
      </w:r>
    </w:p>
    <w:p w:rsidRPr="00296DE9" w:rsidR="00697F55" w:rsidP="2AE84647" w:rsidRDefault="0035314D" w14:paraId="2FAFC2FC" w14:textId="2AE84647">
      <w:pPr>
        <w:divId w:val="463814524"/>
        <w:rPr>
          <w:rFonts w:eastAsiaTheme="minorEastAsia"/>
          <w:lang w:val="hr-HR"/>
        </w:rPr>
      </w:pPr>
      <w:r w:rsidR="2AE84647">
        <w:rPr/>
        <w:t xml:space="preserve"> </w:t>
      </w:r>
      <w:r w:rsidRPr="2AE84647" w:rsidR="0025294A">
        <w:fldChar w:fldCharType="begin" w:fldLock="1"/>
      </w:r>
      <w:r w:rsidRPr="00296DE9" w:rsidR="00697F55">
        <w:rPr>
          <w:lang w:val="hr-HR"/>
        </w:rPr>
        <w:instrText xml:space="preserve">ADDIN Mendeley Bibliography CSL_BIBLIOGRAPHY </w:instrText>
      </w:r>
      <w:r w:rsidRPr="0025294A" w:rsidR="0025294A">
        <w:rPr>
          <w:lang w:val="hr-HR"/>
        </w:rPr>
        <w:fldChar w:fldCharType="separate"/>
      </w:r>
      <w:r w:rsidRPr="00296DE9" w:rsidR="00697F55">
        <w:rPr>
          <w:lang w:val="hr-HR"/>
        </w:rPr>
        <w:t xml:space="preserve"> </w:t>
      </w:r>
      <w:r>
        <w:fldChar w:fldCharType="end"/>
      </w:r>
    </w:p>
    <w:p w:rsidRPr="00296DE9" w:rsidR="00396F3D" w:rsidP="005434B9" w:rsidRDefault="00DF5F9C" w14:paraId="61A03B4A">
      <w:proofErr w:type="spellStart"/>
      <w:proofErr w:type="spellEnd"/>
      <w:proofErr w:type="spellStart"/>
      <w:proofErr w:type="spellEnd"/>
      <w:proofErr w:type="spellStart"/>
      <w:proofErr w:type="spellEnd"/>
      <w:r w:rsidR="00300E06">
        <w:rPr/>
        <w:t xml:space="preserve"> </w:t>
      </w:r>
    </w:p>
    <w:p w:rsidRPr="00296DE9" w:rsidR="00F93D1A" w:rsidP="005434B9" w:rsidRDefault="00F93D1A" w14:paraId="1BC666D6" w14:textId="17541B09"/>
    <w:bookmarkStart w:name="OLE_LINK1" w:id="1"/>
    <w:bookmarkStart w:name="OLE_LINK2" w:id="2"/>
    <w:bookmarkEnd w:id="1"/>
    <w:bookmarkEnd w:id="2"/>
    <w:p w:rsidRPr="003A59BD" w:rsidR="00052908" w:rsidP="00052908" w:rsidRDefault="00052908" w14:paraId="61A9B3F4" w14:textId="7047746F">
      <w:pPr>
        <w:rPr>
          <w:b/>
          <w:color w:val="FF0000"/>
          <w:u w:val="single"/>
        </w:rPr>
      </w:pPr>
      <w:r w:rsidRPr="17541B09" w:rsidR="17541B09">
        <w:rPr>
          <w:b w:val="1"/>
          <w:bCs w:val="1"/>
          <w:color w:val="FF0000"/>
          <w:u w:val="single"/>
        </w:rPr>
        <w:t xml:space="preserve"> </w:t>
      </w:r>
    </w:p>
    <w:sdt>
      <w:sdtPr>
        <w:rPr>
          <w:rFonts w:eastAsia="Calibri"/>
          <w:b w:val="0"/>
          <w:kern w:val="0"/>
          <w:sz w:val="24"/>
          <w:szCs w:val="24"/>
          <w:lang w:val="hr-HR"/>
        </w:rPr>
        <w:id w:val="4088842"/>
        <w:docPartObj>
          <w:docPartGallery w:val="Bibliographies"/>
          <w:docPartUnique/>
        </w:docPartObj>
      </w:sdtPr>
      <w:sdtContent>
        <w:p w:rsidRPr="00296DE9" w:rsidR="00D645DB" w:rsidRDefault="00D645DB" w14:paraId="412E5835">
          <w:pPr>
            <w:pStyle w:val="Heading1"/>
            <w:rPr>
              <w:lang w:val="hr-HR"/>
            </w:rPr>
          </w:pPr>
          <w:r w:rsidRPr="00296DE9">
            <w:rPr>
              <w:lang w:val="hr-HR"/>
            </w:rPr>
            <w:t xml:space="preserve">Literatura </w:t>
          </w:r>
        </w:p>
        <w:sdt>
          <w:sdtPr>
            <w:id w:val="111145805"/>
            <w:bibliography/>
          </w:sdtPr>
          <w:sdtContent>
            <w:p w:rsidR="00674E90" w:rsidP="00674E90" w:rsidRDefault="0025294A" w14:paraId="339FBE98">
              <w:pPr>
                <w:pStyle w:val="Bibliography"/>
                <w:rPr>
                  <w:noProof/>
                </w:rPr>
              </w:pPr>
              <w:r w:rsidRPr="00296DE9">
                <w:fldChar w:fldCharType="begin"/>
              </w:r>
              <w:r w:rsidRPr="00296DE9" w:rsidR="00D645DB">
                <w:instrText xml:space="preserve"> BIBLIOGRAPHY </w:instrText>
              </w:r>
              <w:r w:rsidRPr="00296DE9">
                <w:fldChar w:fldCharType="separate"/>
              </w:r>
              <w:r w:rsidR="00674E90">
                <w:rPr>
                  <w:noProof/>
                </w:rPr>
                <w:t xml:space="preserve">ACMA. (2010). </w:t>
              </w:r>
              <w:r w:rsidR="00674E90">
                <w:rPr>
                  <w:i/>
                  <w:iCs/>
                  <w:noProof/>
                </w:rPr>
                <w:t>Spectrum Reallocation in the 700MHz digital dividend band.</w:t>
              </w:r>
              <w:r w:rsidR="00674E90">
                <w:rPr>
                  <w:noProof/>
                </w:rPr>
                <w:t xml:space="preserve"> Australian Communication and Media Authority.</w:t>
              </w:r>
            </w:p>
            <w:p w:rsidR="00674E90" w:rsidP="00674E90" w:rsidRDefault="00674E90" w14:paraId="760BAA90">
              <w:pPr>
                <w:pStyle w:val="Bibliography"/>
                <w:rPr>
                  <w:noProof/>
                </w:rPr>
              </w:pPr>
              <w:r>
                <w:rPr>
                  <w:noProof/>
                </w:rPr>
                <w:t xml:space="preserve">Analysis Mason, Econ i Hogan&amp;Hartson. (2009). </w:t>
              </w:r>
              <w:r>
                <w:rPr>
                  <w:i/>
                  <w:iCs/>
                  <w:noProof/>
                </w:rPr>
                <w:t>‘Exploiting the digital dividend’ – a European approach.</w:t>
              </w:r>
              <w:r>
                <w:rPr>
                  <w:noProof/>
                </w:rPr>
                <w:t xml:space="preserve"> Analysys Mason Limited.</w:t>
              </w:r>
            </w:p>
            <w:p w:rsidR="00674E90" w:rsidP="00674E90" w:rsidRDefault="00674E90" w14:paraId="05237C78">
              <w:pPr>
                <w:pStyle w:val="Bibliography"/>
                <w:rPr>
                  <w:noProof/>
                </w:rPr>
              </w:pPr>
              <w:r>
                <w:rPr>
                  <w:noProof/>
                </w:rPr>
                <w:t xml:space="preserve">Börnsen, A., Braulke, T., Kruse, J., &amp; Latzer, M. (2011). The Allocation of the Digital Dividend in Austria. </w:t>
              </w:r>
              <w:r>
                <w:rPr>
                  <w:i/>
                  <w:iCs/>
                  <w:noProof/>
                </w:rPr>
                <w:t>International Journal of Digital Television</w:t>
              </w:r>
              <w:r>
                <w:rPr>
                  <w:noProof/>
                </w:rPr>
                <w:t xml:space="preserve"> .</w:t>
              </w:r>
            </w:p>
            <w:p w:rsidR="00674E90" w:rsidP="00674E90" w:rsidRDefault="00674E90" w14:paraId="07F0B789">
              <w:pPr>
                <w:pStyle w:val="Bibliography"/>
                <w:rPr>
                  <w:noProof/>
                </w:rPr>
              </w:pPr>
              <w:r>
                <w:rPr>
                  <w:noProof/>
                </w:rPr>
                <w:t xml:space="preserve">Commission 2009/586/2. </w:t>
              </w:r>
              <w:r>
                <w:rPr>
                  <w:i/>
                  <w:iCs/>
                  <w:noProof/>
                </w:rPr>
                <w:t>Transforming the digital dividend into social benefits and economic growth.</w:t>
              </w:r>
              <w:r>
                <w:rPr>
                  <w:noProof/>
                </w:rPr>
                <w:t xml:space="preserve"> </w:t>
              </w:r>
            </w:p>
            <w:p w:rsidR="00674E90" w:rsidP="00674E90" w:rsidRDefault="00674E90" w14:paraId="003EDB11">
              <w:pPr>
                <w:pStyle w:val="Bibliography"/>
                <w:rPr>
                  <w:noProof/>
                </w:rPr>
              </w:pPr>
              <w:r>
                <w:rPr>
                  <w:noProof/>
                </w:rPr>
                <w:t xml:space="preserve">Commission 2009/848/EC. </w:t>
              </w:r>
              <w:r>
                <w:rPr>
                  <w:i/>
                  <w:iCs/>
                  <w:noProof/>
                </w:rPr>
                <w:t>Commission Reommendation of 28 October 2009 facilitating the release of the digital dividend in the European Union.</w:t>
              </w:r>
              <w:r>
                <w:rPr>
                  <w:noProof/>
                </w:rPr>
                <w:t xml:space="preserve"> </w:t>
              </w:r>
            </w:p>
            <w:p w:rsidR="00674E90" w:rsidP="00674E90" w:rsidRDefault="00674E90" w14:paraId="1A6C30BB">
              <w:pPr>
                <w:pStyle w:val="Bibliography"/>
                <w:rPr>
                  <w:noProof/>
                </w:rPr>
              </w:pPr>
              <w:r>
                <w:rPr>
                  <w:noProof/>
                </w:rPr>
                <w:t xml:space="preserve">Commission COM/2007/700. </w:t>
              </w:r>
              <w:r>
                <w:rPr>
                  <w:i/>
                  <w:iCs/>
                  <w:noProof/>
                </w:rPr>
                <w:t>Reaping the full benefits of the digital dividend in Europe: A common approach to use of the spectrum released by the digital switchover.</w:t>
              </w:r>
              <w:r>
                <w:rPr>
                  <w:noProof/>
                </w:rPr>
                <w:t xml:space="preserve"> Brussels.</w:t>
              </w:r>
            </w:p>
            <w:p w:rsidR="00674E90" w:rsidP="00674E90" w:rsidRDefault="00674E90" w14:paraId="31D0FC2E">
              <w:pPr>
                <w:pStyle w:val="Bibliography"/>
                <w:rPr>
                  <w:noProof/>
                </w:rPr>
              </w:pPr>
              <w:r>
                <w:rPr>
                  <w:noProof/>
                </w:rPr>
                <w:t xml:space="preserve">Cullen International. (2012). </w:t>
              </w:r>
              <w:r>
                <w:rPr>
                  <w:i/>
                  <w:iCs/>
                  <w:noProof/>
                </w:rPr>
                <w:t>Supply of services in monitoring regulatory and market developments for electronic communications and information society services in Enlargement Countries.</w:t>
              </w:r>
              <w:r>
                <w:rPr>
                  <w:noProof/>
                </w:rPr>
                <w:t xml:space="preserve"> </w:t>
              </w:r>
            </w:p>
            <w:p w:rsidR="00674E90" w:rsidP="00674E90" w:rsidRDefault="00674E90" w14:paraId="21A2AF63">
              <w:pPr>
                <w:pStyle w:val="Bibliography"/>
                <w:rPr>
                  <w:noProof/>
                </w:rPr>
              </w:pPr>
              <w:r>
                <w:rPr>
                  <w:noProof/>
                </w:rPr>
                <w:t xml:space="preserve">DTT Forum. (2009). </w:t>
              </w:r>
              <w:r>
                <w:rPr>
                  <w:i/>
                  <w:iCs/>
                  <w:noProof/>
                </w:rPr>
                <w:t>Strategija prelaska sa analogne na digitalnu zemaljsku radiodifuziju u frekvencijskim opsezima 174-230 MHz i 470-862 MHz u Bosni i Hercegovini.</w:t>
              </w:r>
              <w:r>
                <w:rPr>
                  <w:noProof/>
                </w:rPr>
                <w:t xml:space="preserve"> </w:t>
              </w:r>
            </w:p>
            <w:p w:rsidR="00674E90" w:rsidP="00674E90" w:rsidRDefault="00674E90" w14:paraId="259F0DC3">
              <w:pPr>
                <w:pStyle w:val="Bibliography"/>
                <w:rPr>
                  <w:noProof/>
                </w:rPr>
              </w:pPr>
              <w:r>
                <w:rPr>
                  <w:noProof/>
                </w:rPr>
                <w:t xml:space="preserve">Forge, S., Blackman, C., &amp; Bohlin, E. (2008). Economic Impacts of Alternative Uses of the Digital Dividend. </w:t>
              </w:r>
              <w:r>
                <w:rPr>
                  <w:i/>
                  <w:iCs/>
                  <w:noProof/>
                </w:rPr>
                <w:t>Spectrum Management</w:t>
              </w:r>
              <w:r>
                <w:rPr>
                  <w:noProof/>
                </w:rPr>
                <w:t xml:space="preserve"> , 149-162.</w:t>
              </w:r>
            </w:p>
            <w:p w:rsidR="00674E90" w:rsidP="00674E90" w:rsidRDefault="00674E90" w14:paraId="1493CF5C">
              <w:pPr>
                <w:pStyle w:val="Bibliography"/>
                <w:rPr>
                  <w:noProof/>
                </w:rPr>
              </w:pPr>
              <w:r>
                <w:rPr>
                  <w:noProof/>
                </w:rPr>
                <w:t xml:space="preserve">Gómez-Barroso, J. L., Mochón, A., Sáez, Y., &amp; Feijóo, C. (2011). The importance of the size of the digital dividend when digital dividend spectrum is auctioned. </w:t>
              </w:r>
              <w:r>
                <w:rPr>
                  <w:i/>
                  <w:iCs/>
                  <w:noProof/>
                </w:rPr>
                <w:t>International Journal of Mobile Communications</w:t>
              </w:r>
              <w:r>
                <w:rPr>
                  <w:noProof/>
                </w:rPr>
                <w:t xml:space="preserve"> </w:t>
              </w:r>
              <w:r>
                <w:rPr>
                  <w:i/>
                  <w:iCs/>
                  <w:noProof/>
                </w:rPr>
                <w:t>, 9</w:t>
              </w:r>
              <w:r>
                <w:rPr>
                  <w:noProof/>
                </w:rPr>
                <w:t xml:space="preserve"> (1), 57-75.</w:t>
              </w:r>
            </w:p>
            <w:p w:rsidR="00674E90" w:rsidP="00674E90" w:rsidRDefault="00674E90" w14:paraId="458742CE">
              <w:pPr>
                <w:pStyle w:val="Bibliography"/>
                <w:rPr>
                  <w:noProof/>
                </w:rPr>
              </w:pPr>
              <w:r>
                <w:rPr>
                  <w:noProof/>
                </w:rPr>
                <w:t>HAKOM. (2012). Preuzeto 23. 05 2012 iz HAKOM: http://www.hakom.hr/default.aspx?id=1121</w:t>
              </w:r>
            </w:p>
            <w:p w:rsidR="00674E90" w:rsidP="00674E90" w:rsidRDefault="00674E90" w14:paraId="46E69B58">
              <w:pPr>
                <w:pStyle w:val="Bibliography"/>
                <w:rPr>
                  <w:noProof/>
                </w:rPr>
              </w:pPr>
              <w:r>
                <w:rPr>
                  <w:noProof/>
                </w:rPr>
                <w:t xml:space="preserve">HAKOM. (2012). </w:t>
              </w:r>
              <w:r>
                <w:rPr>
                  <w:i/>
                  <w:iCs/>
                  <w:noProof/>
                </w:rPr>
                <w:t>Dodatne informacije o dodjeli radiofrekvencijskog spektra 791-821/832-862 MHz.</w:t>
              </w:r>
              <w:r>
                <w:rPr>
                  <w:noProof/>
                </w:rPr>
                <w:t xml:space="preserve"> Preuzeto 23. 10 2012 iz HAKOM: http://www.hakom.hr/UserDocsImages/2012/vijesti_i_najave/VL-RK-DO-INTS-Info_poziv_DD-20120912_.pdf</w:t>
              </w:r>
            </w:p>
            <w:p w:rsidR="00674E90" w:rsidP="00674E90" w:rsidRDefault="00674E90" w14:paraId="4E198392">
              <w:pPr>
                <w:pStyle w:val="Bibliography"/>
                <w:rPr>
                  <w:noProof/>
                </w:rPr>
              </w:pPr>
              <w:r>
                <w:rPr>
                  <w:noProof/>
                </w:rPr>
                <w:t xml:space="preserve">ITU. (2012). </w:t>
              </w:r>
              <w:r>
                <w:rPr>
                  <w:i/>
                  <w:iCs/>
                  <w:noProof/>
                </w:rPr>
                <w:t>Digital Dividend: insights for spectrum decisions.</w:t>
              </w:r>
              <w:r>
                <w:rPr>
                  <w:noProof/>
                </w:rPr>
                <w:t xml:space="preserve"> International Telecommunication Union.</w:t>
              </w:r>
            </w:p>
            <w:p w:rsidR="00674E90" w:rsidP="00674E90" w:rsidRDefault="00674E90" w14:paraId="330BF513">
              <w:pPr>
                <w:pStyle w:val="Bibliography"/>
                <w:rPr>
                  <w:noProof/>
                </w:rPr>
              </w:pPr>
              <w:r>
                <w:rPr>
                  <w:noProof/>
                </w:rPr>
                <w:t xml:space="preserve">MBB. </w:t>
              </w:r>
              <w:r>
                <w:rPr>
                  <w:i/>
                  <w:iCs/>
                  <w:noProof/>
                </w:rPr>
                <w:t>Germany‘s digital dividend. Transmission of television and internet via broadcast spectrum - The first analogue-digital switchover of terrestrial television transmission – five years on.</w:t>
              </w:r>
              <w:r>
                <w:rPr>
                  <w:noProof/>
                </w:rPr>
                <w:t xml:space="preserve"> Berlin: Königsdruck.</w:t>
              </w:r>
            </w:p>
            <w:p w:rsidR="00674E90" w:rsidP="00674E90" w:rsidRDefault="00674E90" w14:paraId="742CA128">
              <w:pPr>
                <w:pStyle w:val="Bibliography"/>
                <w:rPr>
                  <w:noProof/>
                </w:rPr>
              </w:pPr>
              <w:r>
                <w:rPr>
                  <w:noProof/>
                </w:rPr>
                <w:t xml:space="preserve">Pamias, A., &amp; Torras, D. (2011). </w:t>
              </w:r>
              <w:r>
                <w:rPr>
                  <w:i/>
                  <w:iCs/>
                  <w:noProof/>
                </w:rPr>
                <w:t>The Digital Dividend in Europe: in the eye of “The Perfect Storm”.</w:t>
              </w:r>
              <w:r>
                <w:rPr>
                  <w:noProof/>
                </w:rPr>
                <w:t xml:space="preserve"> The Delta Perspective.</w:t>
              </w:r>
            </w:p>
            <w:p w:rsidR="00674E90" w:rsidP="00674E90" w:rsidRDefault="00674E90" w14:paraId="43017084">
              <w:pPr>
                <w:pStyle w:val="Bibliography"/>
                <w:rPr>
                  <w:noProof/>
                </w:rPr>
              </w:pPr>
              <w:r>
                <w:rPr>
                  <w:noProof/>
                </w:rPr>
                <w:lastRenderedPageBreak/>
                <w:t xml:space="preserve">Ratkaj, D. (2012). Digital Dividend Insight. </w:t>
              </w:r>
              <w:r>
                <w:rPr>
                  <w:i/>
                  <w:iCs/>
                  <w:noProof/>
                </w:rPr>
                <w:t>SEE Digi.TV Project - First Transnational Project Conference.</w:t>
              </w:r>
              <w:r>
                <w:rPr>
                  <w:noProof/>
                </w:rPr>
                <w:t xml:space="preserve"> EBU Technical.</w:t>
              </w:r>
            </w:p>
            <w:p w:rsidRPr="00296DE9" w:rsidR="00D645DB" w:rsidP="00674E90" w:rsidRDefault="0025294A" w14:paraId="50AC1989">
              <w:r w:rsidRPr="00296DE9">
                <w:fldChar w:fldCharType="end"/>
              </w:r>
            </w:p>
          </w:sdtContent>
        </w:sdt>
      </w:sdtContent>
    </w:sdt>
    <w:p w:rsidRPr="00296DE9" w:rsidR="0035314D" w:rsidP="00D645DB" w:rsidRDefault="0025294A" w14:paraId="6413EBD7">
      <w:pPr>
        <w:spacing w:before="0" w:line="240" w:lineRule="auto"/>
        <w:jc w:val="left"/>
        <w:rPr>
          <w:rFonts w:eastAsia="Times New Roman"/>
          <w:kern w:val="28"/>
          <w:szCs w:val="20"/>
        </w:rPr>
      </w:pPr>
      <w:r>
        <w:rPr>
          <w:rFonts w:eastAsia="Times New Roman"/>
          <w:noProof/>
          <w:kern w:val="28"/>
          <w:szCs w:val="20"/>
          <w:lang w:eastAsia="hr-HR"/>
        </w:rPr>
        <w:pict w14:anchorId="2F766C67">
          <v:oval id="_x0000_s2561" style="position:absolute;margin-left:482pt;margin-top:739pt;width:40.15pt;height:42.7pt;z-index:251770880" stroked="f"/>
        </w:pict>
      </w:r>
    </w:p>
    <w:sectPr w:rsidRPr="00296DE9" w:rsidR="0035314D" w:rsidSect="00A64C2F">
      <w:footerReference w:type="default" r:id="rId12"/>
      <w:type w:val="continuous"/>
      <w:pgSz w:w="11906" w:h="16838" w:orient="portrait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w:rsidR="00C36182" w:rsidP="00C54F93" w:rsidRDefault="00C36182" w14:paraId="2F766C67">
      <w:pPr>
        <w:spacing w:line="240" w:lineRule="auto"/>
      </w:pPr>
      <w:r>
        <w:separator/>
      </w:r>
    </w:p>
  </w:endnote>
  <w:endnote w:type="continuationSeparator" w:id="0">
    <w:p w:rsidR="00C36182" w:rsidP="00C54F93" w:rsidRDefault="00C36182" w14:paraId="3AE92EF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sdt>
    <w:sdtPr>
      <w:id w:val="1054268"/>
      <w:docPartObj>
        <w:docPartGallery w:val="Page Numbers (Bottom of Page)"/>
        <w:docPartUnique/>
      </w:docPartObj>
    </w:sdtPr>
    <w:sdtContent>
      <w:p w:rsidR="00052908" w:rsidRDefault="00052908" w14:paraId="3BA2F299">
        <w:pPr>
          <w:pStyle w:val="Footer"/>
          <w:jc w:val="right"/>
        </w:pPr>
        <w:fldSimple w:instr=" PAGE   \* MERGEFORMAT ">
          <w:r w:rsidR="00F67C20">
            <w:rPr>
              <w:noProof/>
            </w:rPr>
            <w:t>24</w:t>
          </w:r>
        </w:fldSimple>
      </w:p>
    </w:sdtContent>
  </w:sdt>
  <w:p w:rsidR="00052908" w:rsidRDefault="00052908" w14:paraId="62C4AE7E">
    <w:pPr>
      <w:pStyle w:val="Footer"/>
    </w:pPr>
  </w:p>
</w:ftr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w:rsidR="00C36182" w:rsidP="00C54F93" w:rsidRDefault="00C36182" w14:paraId="0E5997DD">
      <w:pPr>
        <w:spacing w:line="240" w:lineRule="auto"/>
      </w:pPr>
      <w:r>
        <w:separator/>
      </w:r>
    </w:p>
  </w:footnote>
  <w:footnote w:type="continuationSeparator" w:id="0">
    <w:p w:rsidR="00C36182" w:rsidP="00C54F93" w:rsidRDefault="00C36182" w14:paraId="35D0944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5FB4"/>
    <w:multiLevelType w:val="hybridMultilevel"/>
    <w:tmpl w:val="CD7E0B18"/>
    <w:lvl w:ilvl="0" w:tplc="5AC82E6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546E5"/>
    <w:multiLevelType w:val="hybridMultilevel"/>
    <w:tmpl w:val="77F0B7DA"/>
    <w:lvl w:ilvl="0" w:tplc="1F5085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9C6015A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eastAsia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A3087A"/>
    <w:multiLevelType w:val="hybridMultilevel"/>
    <w:tmpl w:val="C47EB490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094015F7"/>
    <w:multiLevelType w:val="hybridMultilevel"/>
    <w:tmpl w:val="C554C6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46F40"/>
    <w:multiLevelType w:val="hybridMultilevel"/>
    <w:tmpl w:val="64A47260"/>
    <w:lvl w:ilvl="0" w:tplc="70A856AA">
      <w:start w:val="1"/>
      <w:numFmt w:val="lowerLetter"/>
      <w:lvlText w:val="(%1)"/>
      <w:lvlJc w:val="left"/>
      <w:pPr>
        <w:ind w:left="1428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42E69E3"/>
    <w:multiLevelType w:val="hybridMultilevel"/>
    <w:tmpl w:val="0AD028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0E7BA4"/>
    <w:multiLevelType w:val="hybridMultilevel"/>
    <w:tmpl w:val="4404BF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422FFA"/>
    <w:multiLevelType w:val="hybridMultilevel"/>
    <w:tmpl w:val="76D64A6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1A9C16DB"/>
    <w:multiLevelType w:val="hybridMultilevel"/>
    <w:tmpl w:val="C69259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E62BA0A">
      <w:numFmt w:val="bullet"/>
      <w:lvlText w:val="-"/>
      <w:lvlJc w:val="left"/>
      <w:pPr>
        <w:ind w:left="2505" w:hanging="705"/>
      </w:pPr>
      <w:rPr>
        <w:rFonts w:hint="default" w:ascii="Times New Roman" w:hAnsi="Times New Roman" w:eastAsia="Calibri" w:cs="Times New Roman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1FC875E5"/>
    <w:multiLevelType w:val="hybridMultilevel"/>
    <w:tmpl w:val="14D69672"/>
    <w:lvl w:ilvl="0" w:tplc="44389B2A">
      <w:start w:val="1"/>
      <w:numFmt w:val="lowerLetter"/>
      <w:lvlText w:val="(%1)"/>
      <w:lvlJc w:val="left"/>
      <w:pPr>
        <w:ind w:left="1068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26A78AD"/>
    <w:multiLevelType w:val="hybridMultilevel"/>
    <w:tmpl w:val="AD3EA936"/>
    <w:lvl w:ilvl="0" w:tplc="B4A4875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269279FD"/>
    <w:multiLevelType w:val="hybridMultilevel"/>
    <w:tmpl w:val="6ED08B24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29025C60"/>
    <w:multiLevelType w:val="hybridMultilevel"/>
    <w:tmpl w:val="1B061A44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32F638D7"/>
    <w:multiLevelType w:val="hybridMultilevel"/>
    <w:tmpl w:val="BA303C1E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331909E1"/>
    <w:multiLevelType w:val="hybridMultilevel"/>
    <w:tmpl w:val="6C64D8E0"/>
    <w:lvl w:ilvl="0" w:tplc="9E9AFB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9E2A04"/>
    <w:multiLevelType w:val="hybridMultilevel"/>
    <w:tmpl w:val="E4C4EACC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3DB16896"/>
    <w:multiLevelType w:val="hybridMultilevel"/>
    <w:tmpl w:val="387A2D5A"/>
    <w:lvl w:ilvl="0" w:tplc="9E9AFB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4095C"/>
    <w:multiLevelType w:val="hybridMultilevel"/>
    <w:tmpl w:val="7FE4F382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407932B6"/>
    <w:multiLevelType w:val="hybridMultilevel"/>
    <w:tmpl w:val="86F26B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7B7CD8"/>
    <w:multiLevelType w:val="hybridMultilevel"/>
    <w:tmpl w:val="5AAE2632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nsid w:val="43DE6097"/>
    <w:multiLevelType w:val="hybridMultilevel"/>
    <w:tmpl w:val="8E1E7C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B47F2B"/>
    <w:multiLevelType w:val="hybridMultilevel"/>
    <w:tmpl w:val="EE94419A"/>
    <w:lvl w:ilvl="0" w:tplc="561E59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8C3516"/>
    <w:multiLevelType w:val="hybridMultilevel"/>
    <w:tmpl w:val="A5B0EE1C"/>
    <w:lvl w:ilvl="0" w:tplc="3524F738">
      <w:start w:val="1"/>
      <w:numFmt w:val="lowerLetter"/>
      <w:lvlText w:val="(%1)"/>
      <w:lvlJc w:val="left"/>
      <w:pPr>
        <w:ind w:left="72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5602EF"/>
    <w:multiLevelType w:val="hybridMultilevel"/>
    <w:tmpl w:val="66D2094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nsid w:val="4CC2746F"/>
    <w:multiLevelType w:val="hybridMultilevel"/>
    <w:tmpl w:val="1890BA04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nsid w:val="4D057E47"/>
    <w:multiLevelType w:val="hybridMultilevel"/>
    <w:tmpl w:val="779ABF4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nsid w:val="4DAC16B7"/>
    <w:multiLevelType w:val="hybridMultilevel"/>
    <w:tmpl w:val="2B70AD2E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nsid w:val="4DC12865"/>
    <w:multiLevelType w:val="hybridMultilevel"/>
    <w:tmpl w:val="B73643B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nsid w:val="53F3685D"/>
    <w:multiLevelType w:val="hybridMultilevel"/>
    <w:tmpl w:val="21A07A20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nsid w:val="5B244035"/>
    <w:multiLevelType w:val="hybridMultilevel"/>
    <w:tmpl w:val="0638D16A"/>
    <w:lvl w:ilvl="0" w:tplc="B4A4875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nsid w:val="5C8D65DB"/>
    <w:multiLevelType w:val="hybridMultilevel"/>
    <w:tmpl w:val="E15E6CF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624B0"/>
    <w:multiLevelType w:val="hybridMultilevel"/>
    <w:tmpl w:val="5C465D68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nsid w:val="5DB41BC8"/>
    <w:multiLevelType w:val="hybridMultilevel"/>
    <w:tmpl w:val="DCB6AF86"/>
    <w:lvl w:ilvl="0" w:tplc="9E9AFB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F76304"/>
    <w:multiLevelType w:val="hybridMultilevel"/>
    <w:tmpl w:val="411A0C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C91F04"/>
    <w:multiLevelType w:val="hybridMultilevel"/>
    <w:tmpl w:val="E2264A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371B02"/>
    <w:multiLevelType w:val="hybridMultilevel"/>
    <w:tmpl w:val="849E4102"/>
    <w:lvl w:ilvl="0" w:tplc="9E9AFB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8D5E65"/>
    <w:multiLevelType w:val="hybridMultilevel"/>
    <w:tmpl w:val="77E40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227508"/>
    <w:multiLevelType w:val="hybridMultilevel"/>
    <w:tmpl w:val="C71AC2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440B9E"/>
    <w:multiLevelType w:val="hybridMultilevel"/>
    <w:tmpl w:val="C17C5B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1672EE"/>
    <w:multiLevelType w:val="hybridMultilevel"/>
    <w:tmpl w:val="CF14AFBA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>
    <w:nsid w:val="6E9F1D6E"/>
    <w:multiLevelType w:val="hybridMultilevel"/>
    <w:tmpl w:val="5F641B90"/>
    <w:lvl w:ilvl="0" w:tplc="0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>
    <w:nsid w:val="6F781624"/>
    <w:multiLevelType w:val="hybridMultilevel"/>
    <w:tmpl w:val="16D8C874"/>
    <w:lvl w:ilvl="0" w:tplc="9E9AFB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915E94"/>
    <w:multiLevelType w:val="hybridMultilevel"/>
    <w:tmpl w:val="40B0F71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>
    <w:nsid w:val="762121AA"/>
    <w:multiLevelType w:val="hybridMultilevel"/>
    <w:tmpl w:val="37FE5B2C"/>
    <w:lvl w:ilvl="0" w:tplc="041A0001">
      <w:start w:val="1"/>
      <w:numFmt w:val="bullet"/>
      <w:lvlText w:val=""/>
      <w:lvlJc w:val="left"/>
      <w:pPr>
        <w:ind w:left="837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557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277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997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717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437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157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877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597" w:hanging="360"/>
      </w:pPr>
      <w:rPr>
        <w:rFonts w:hint="default" w:ascii="Wingdings" w:hAnsi="Wingdings"/>
      </w:rPr>
    </w:lvl>
  </w:abstractNum>
  <w:num w:numId="1">
    <w:abstractNumId w:val="39"/>
  </w:num>
  <w:num w:numId="2">
    <w:abstractNumId w:val="26"/>
  </w:num>
  <w:num w:numId="3">
    <w:abstractNumId w:val="32"/>
  </w:num>
  <w:num w:numId="4">
    <w:abstractNumId w:val="43"/>
  </w:num>
  <w:num w:numId="5">
    <w:abstractNumId w:val="41"/>
  </w:num>
  <w:num w:numId="6">
    <w:abstractNumId w:val="37"/>
  </w:num>
  <w:num w:numId="7">
    <w:abstractNumId w:val="0"/>
  </w:num>
  <w:num w:numId="8">
    <w:abstractNumId w:val="21"/>
  </w:num>
  <w:num w:numId="9">
    <w:abstractNumId w:val="25"/>
  </w:num>
  <w:num w:numId="10">
    <w:abstractNumId w:val="23"/>
  </w:num>
  <w:num w:numId="11">
    <w:abstractNumId w:val="7"/>
  </w:num>
  <w:num w:numId="12">
    <w:abstractNumId w:val="27"/>
  </w:num>
  <w:num w:numId="13">
    <w:abstractNumId w:val="8"/>
  </w:num>
  <w:num w:numId="14">
    <w:abstractNumId w:val="42"/>
  </w:num>
  <w:num w:numId="15">
    <w:abstractNumId w:val="15"/>
  </w:num>
  <w:num w:numId="16">
    <w:abstractNumId w:val="2"/>
  </w:num>
  <w:num w:numId="17">
    <w:abstractNumId w:val="13"/>
  </w:num>
  <w:num w:numId="18">
    <w:abstractNumId w:val="12"/>
  </w:num>
  <w:num w:numId="19">
    <w:abstractNumId w:val="31"/>
  </w:num>
  <w:num w:numId="20">
    <w:abstractNumId w:val="29"/>
  </w:num>
  <w:num w:numId="21">
    <w:abstractNumId w:val="10"/>
  </w:num>
  <w:num w:numId="22">
    <w:abstractNumId w:val="40"/>
  </w:num>
  <w:num w:numId="23">
    <w:abstractNumId w:val="35"/>
  </w:num>
  <w:num w:numId="24">
    <w:abstractNumId w:val="14"/>
  </w:num>
  <w:num w:numId="25">
    <w:abstractNumId w:val="16"/>
  </w:num>
  <w:num w:numId="26">
    <w:abstractNumId w:val="24"/>
  </w:num>
  <w:num w:numId="27">
    <w:abstractNumId w:val="19"/>
  </w:num>
  <w:num w:numId="28">
    <w:abstractNumId w:val="4"/>
  </w:num>
  <w:num w:numId="29">
    <w:abstractNumId w:val="9"/>
  </w:num>
  <w:num w:numId="30">
    <w:abstractNumId w:val="22"/>
  </w:num>
  <w:num w:numId="31">
    <w:abstractNumId w:val="11"/>
  </w:num>
  <w:num w:numId="32">
    <w:abstractNumId w:val="1"/>
  </w:num>
  <w:num w:numId="33">
    <w:abstractNumId w:val="36"/>
  </w:num>
  <w:num w:numId="34">
    <w:abstractNumId w:val="6"/>
  </w:num>
  <w:num w:numId="35">
    <w:abstractNumId w:val="34"/>
  </w:num>
  <w:num w:numId="36">
    <w:abstractNumId w:val="5"/>
  </w:num>
  <w:num w:numId="37">
    <w:abstractNumId w:val="38"/>
  </w:num>
  <w:num w:numId="38">
    <w:abstractNumId w:val="20"/>
  </w:num>
  <w:num w:numId="39">
    <w:abstractNumId w:val="3"/>
  </w:num>
  <w:num w:numId="40">
    <w:abstractNumId w:val="30"/>
  </w:num>
  <w:num w:numId="41">
    <w:abstractNumId w:val="28"/>
  </w:num>
  <w:num w:numId="42">
    <w:abstractNumId w:val="18"/>
  </w:num>
  <w:num w:numId="43">
    <w:abstractNumId w:val="17"/>
  </w:num>
  <w:num w:numId="44">
    <w:abstractNumId w:val="33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mc="http://schemas.openxmlformats.org/markup-compatibility/2006" mc:Ignorable="w14">
  <w:zoom w:percent="90"/>
  <w:stylePaneFormatFilter w:val="102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132"/>
    <w:rsid w:val="0000648F"/>
    <w:rsid w:val="00007B52"/>
    <w:rsid w:val="00010EE2"/>
    <w:rsid w:val="00011E79"/>
    <w:rsid w:val="00012097"/>
    <w:rsid w:val="00012A6D"/>
    <w:rsid w:val="000142BA"/>
    <w:rsid w:val="00015D54"/>
    <w:rsid w:val="000238EC"/>
    <w:rsid w:val="00027342"/>
    <w:rsid w:val="00037715"/>
    <w:rsid w:val="00046007"/>
    <w:rsid w:val="00046377"/>
    <w:rsid w:val="00050CDE"/>
    <w:rsid w:val="00050F33"/>
    <w:rsid w:val="00050F93"/>
    <w:rsid w:val="00052908"/>
    <w:rsid w:val="00055E63"/>
    <w:rsid w:val="00064621"/>
    <w:rsid w:val="000668AB"/>
    <w:rsid w:val="00071B72"/>
    <w:rsid w:val="0007277E"/>
    <w:rsid w:val="00074249"/>
    <w:rsid w:val="00076E1B"/>
    <w:rsid w:val="00086D34"/>
    <w:rsid w:val="0008771C"/>
    <w:rsid w:val="00090BBB"/>
    <w:rsid w:val="000A2DB5"/>
    <w:rsid w:val="000A36E1"/>
    <w:rsid w:val="000A3FF2"/>
    <w:rsid w:val="000A41BE"/>
    <w:rsid w:val="000A6E15"/>
    <w:rsid w:val="000B0AA1"/>
    <w:rsid w:val="000B40DD"/>
    <w:rsid w:val="000B67EC"/>
    <w:rsid w:val="000B6F53"/>
    <w:rsid w:val="000B741E"/>
    <w:rsid w:val="000C15AA"/>
    <w:rsid w:val="000C3052"/>
    <w:rsid w:val="000C3596"/>
    <w:rsid w:val="000C4ECB"/>
    <w:rsid w:val="000C72BD"/>
    <w:rsid w:val="000D2076"/>
    <w:rsid w:val="000D2F75"/>
    <w:rsid w:val="000D6B3F"/>
    <w:rsid w:val="000D7CED"/>
    <w:rsid w:val="000F18E3"/>
    <w:rsid w:val="000F1D19"/>
    <w:rsid w:val="000F4BBE"/>
    <w:rsid w:val="00100150"/>
    <w:rsid w:val="00102141"/>
    <w:rsid w:val="001046A1"/>
    <w:rsid w:val="00110219"/>
    <w:rsid w:val="0011110E"/>
    <w:rsid w:val="001144E0"/>
    <w:rsid w:val="001155F3"/>
    <w:rsid w:val="001169C5"/>
    <w:rsid w:val="00116EAD"/>
    <w:rsid w:val="00117440"/>
    <w:rsid w:val="00117FED"/>
    <w:rsid w:val="0012129E"/>
    <w:rsid w:val="0012620D"/>
    <w:rsid w:val="001265B2"/>
    <w:rsid w:val="00134BCD"/>
    <w:rsid w:val="001458E1"/>
    <w:rsid w:val="0014701D"/>
    <w:rsid w:val="001534F3"/>
    <w:rsid w:val="00154286"/>
    <w:rsid w:val="0015443C"/>
    <w:rsid w:val="0015519F"/>
    <w:rsid w:val="00156159"/>
    <w:rsid w:val="001612B1"/>
    <w:rsid w:val="00163FE5"/>
    <w:rsid w:val="001654B0"/>
    <w:rsid w:val="00166080"/>
    <w:rsid w:val="00177F07"/>
    <w:rsid w:val="00180AAF"/>
    <w:rsid w:val="00181DAF"/>
    <w:rsid w:val="0018400A"/>
    <w:rsid w:val="0018680E"/>
    <w:rsid w:val="001A174C"/>
    <w:rsid w:val="001A3ABB"/>
    <w:rsid w:val="001A6298"/>
    <w:rsid w:val="001B04E1"/>
    <w:rsid w:val="001B13BF"/>
    <w:rsid w:val="001B3E24"/>
    <w:rsid w:val="001B6A28"/>
    <w:rsid w:val="001B78C0"/>
    <w:rsid w:val="001C4E68"/>
    <w:rsid w:val="001C688C"/>
    <w:rsid w:val="001C6952"/>
    <w:rsid w:val="001D007D"/>
    <w:rsid w:val="001E1B0F"/>
    <w:rsid w:val="001E22B9"/>
    <w:rsid w:val="001F0443"/>
    <w:rsid w:val="001F1D86"/>
    <w:rsid w:val="001F5116"/>
    <w:rsid w:val="001F5CBE"/>
    <w:rsid w:val="001F76BB"/>
    <w:rsid w:val="00201A0B"/>
    <w:rsid w:val="00205485"/>
    <w:rsid w:val="00211FA3"/>
    <w:rsid w:val="002149C3"/>
    <w:rsid w:val="00220775"/>
    <w:rsid w:val="002234D3"/>
    <w:rsid w:val="00223818"/>
    <w:rsid w:val="002240EA"/>
    <w:rsid w:val="00227324"/>
    <w:rsid w:val="002306BB"/>
    <w:rsid w:val="00232CFE"/>
    <w:rsid w:val="0023471A"/>
    <w:rsid w:val="00235D39"/>
    <w:rsid w:val="0025294A"/>
    <w:rsid w:val="002543DC"/>
    <w:rsid w:val="002623D4"/>
    <w:rsid w:val="00264DFD"/>
    <w:rsid w:val="00270DD2"/>
    <w:rsid w:val="00272B2C"/>
    <w:rsid w:val="00273DBE"/>
    <w:rsid w:val="00275E44"/>
    <w:rsid w:val="00293944"/>
    <w:rsid w:val="00293C82"/>
    <w:rsid w:val="00296DE9"/>
    <w:rsid w:val="00297341"/>
    <w:rsid w:val="002A0E36"/>
    <w:rsid w:val="002A6713"/>
    <w:rsid w:val="002C1420"/>
    <w:rsid w:val="002D5581"/>
    <w:rsid w:val="002F7603"/>
    <w:rsid w:val="00300E06"/>
    <w:rsid w:val="00311D3E"/>
    <w:rsid w:val="003135D4"/>
    <w:rsid w:val="00315CCD"/>
    <w:rsid w:val="003164AF"/>
    <w:rsid w:val="00317606"/>
    <w:rsid w:val="00321DCC"/>
    <w:rsid w:val="00324305"/>
    <w:rsid w:val="0033117F"/>
    <w:rsid w:val="00331F58"/>
    <w:rsid w:val="0033533B"/>
    <w:rsid w:val="00337F4E"/>
    <w:rsid w:val="00342279"/>
    <w:rsid w:val="00342969"/>
    <w:rsid w:val="0034561B"/>
    <w:rsid w:val="00347C6F"/>
    <w:rsid w:val="00352B88"/>
    <w:rsid w:val="0035314D"/>
    <w:rsid w:val="00354838"/>
    <w:rsid w:val="00356B9C"/>
    <w:rsid w:val="00361763"/>
    <w:rsid w:val="00362E46"/>
    <w:rsid w:val="00363D81"/>
    <w:rsid w:val="00364B06"/>
    <w:rsid w:val="003650AF"/>
    <w:rsid w:val="00366D58"/>
    <w:rsid w:val="00367B4C"/>
    <w:rsid w:val="003802CC"/>
    <w:rsid w:val="0038345E"/>
    <w:rsid w:val="00386573"/>
    <w:rsid w:val="0038679C"/>
    <w:rsid w:val="00392105"/>
    <w:rsid w:val="00396F3D"/>
    <w:rsid w:val="003A084B"/>
    <w:rsid w:val="003A0B9B"/>
    <w:rsid w:val="003A449A"/>
    <w:rsid w:val="003A59BD"/>
    <w:rsid w:val="003A6333"/>
    <w:rsid w:val="003B07BB"/>
    <w:rsid w:val="003B177E"/>
    <w:rsid w:val="003C44FC"/>
    <w:rsid w:val="003D26B5"/>
    <w:rsid w:val="003D30BA"/>
    <w:rsid w:val="003D3A34"/>
    <w:rsid w:val="003D408D"/>
    <w:rsid w:val="003D4982"/>
    <w:rsid w:val="003D64DA"/>
    <w:rsid w:val="003E2B91"/>
    <w:rsid w:val="003E2C93"/>
    <w:rsid w:val="003E3FEA"/>
    <w:rsid w:val="003F08F6"/>
    <w:rsid w:val="003F3128"/>
    <w:rsid w:val="003F55B7"/>
    <w:rsid w:val="003F5787"/>
    <w:rsid w:val="003F5996"/>
    <w:rsid w:val="00402DE9"/>
    <w:rsid w:val="004034C6"/>
    <w:rsid w:val="00411F66"/>
    <w:rsid w:val="004122E1"/>
    <w:rsid w:val="0041570B"/>
    <w:rsid w:val="00415ED9"/>
    <w:rsid w:val="004245E8"/>
    <w:rsid w:val="0042468B"/>
    <w:rsid w:val="004253C4"/>
    <w:rsid w:val="00431344"/>
    <w:rsid w:val="00437DB7"/>
    <w:rsid w:val="0044247E"/>
    <w:rsid w:val="00443FB3"/>
    <w:rsid w:val="0044442E"/>
    <w:rsid w:val="00446769"/>
    <w:rsid w:val="00453FF7"/>
    <w:rsid w:val="004547C5"/>
    <w:rsid w:val="00454FC7"/>
    <w:rsid w:val="00455198"/>
    <w:rsid w:val="004673E7"/>
    <w:rsid w:val="00471FDD"/>
    <w:rsid w:val="00472178"/>
    <w:rsid w:val="004746E8"/>
    <w:rsid w:val="00481310"/>
    <w:rsid w:val="004832DC"/>
    <w:rsid w:val="00485E26"/>
    <w:rsid w:val="00486DEB"/>
    <w:rsid w:val="0049149A"/>
    <w:rsid w:val="00493BB3"/>
    <w:rsid w:val="00495922"/>
    <w:rsid w:val="004A140F"/>
    <w:rsid w:val="004A238A"/>
    <w:rsid w:val="004A6D48"/>
    <w:rsid w:val="004B4442"/>
    <w:rsid w:val="004C2D80"/>
    <w:rsid w:val="004C5A47"/>
    <w:rsid w:val="004C6BC2"/>
    <w:rsid w:val="004D11EE"/>
    <w:rsid w:val="004D744E"/>
    <w:rsid w:val="004E36E4"/>
    <w:rsid w:val="004E4DFC"/>
    <w:rsid w:val="004E6939"/>
    <w:rsid w:val="004F0BEE"/>
    <w:rsid w:val="004F1757"/>
    <w:rsid w:val="004F2011"/>
    <w:rsid w:val="004F6598"/>
    <w:rsid w:val="004F7D81"/>
    <w:rsid w:val="005048B2"/>
    <w:rsid w:val="005058B1"/>
    <w:rsid w:val="00514772"/>
    <w:rsid w:val="00515483"/>
    <w:rsid w:val="00516646"/>
    <w:rsid w:val="00536057"/>
    <w:rsid w:val="00541FC2"/>
    <w:rsid w:val="0054345D"/>
    <w:rsid w:val="005434B9"/>
    <w:rsid w:val="00543BA8"/>
    <w:rsid w:val="00546CA3"/>
    <w:rsid w:val="00555E48"/>
    <w:rsid w:val="00557A8F"/>
    <w:rsid w:val="005600DC"/>
    <w:rsid w:val="00574FDC"/>
    <w:rsid w:val="00576043"/>
    <w:rsid w:val="00582604"/>
    <w:rsid w:val="00586226"/>
    <w:rsid w:val="00587217"/>
    <w:rsid w:val="0059692E"/>
    <w:rsid w:val="005A0EB0"/>
    <w:rsid w:val="005A1F33"/>
    <w:rsid w:val="005A2AFF"/>
    <w:rsid w:val="005A7005"/>
    <w:rsid w:val="005B0AF9"/>
    <w:rsid w:val="005B1951"/>
    <w:rsid w:val="005B2506"/>
    <w:rsid w:val="005C5587"/>
    <w:rsid w:val="005C5BA1"/>
    <w:rsid w:val="005C75ED"/>
    <w:rsid w:val="005C7F31"/>
    <w:rsid w:val="005D2069"/>
    <w:rsid w:val="005D2262"/>
    <w:rsid w:val="005D2D06"/>
    <w:rsid w:val="005D541A"/>
    <w:rsid w:val="005D5CAF"/>
    <w:rsid w:val="005D7703"/>
    <w:rsid w:val="005E15B5"/>
    <w:rsid w:val="005E35F8"/>
    <w:rsid w:val="005F1D19"/>
    <w:rsid w:val="005F2065"/>
    <w:rsid w:val="005F6CBC"/>
    <w:rsid w:val="005F7E2E"/>
    <w:rsid w:val="0060303D"/>
    <w:rsid w:val="00603B0B"/>
    <w:rsid w:val="00604EC4"/>
    <w:rsid w:val="00607B67"/>
    <w:rsid w:val="00607F17"/>
    <w:rsid w:val="00611EE6"/>
    <w:rsid w:val="00612942"/>
    <w:rsid w:val="00612D66"/>
    <w:rsid w:val="0061485F"/>
    <w:rsid w:val="00615733"/>
    <w:rsid w:val="006203ED"/>
    <w:rsid w:val="006226C0"/>
    <w:rsid w:val="00623A35"/>
    <w:rsid w:val="00630AE4"/>
    <w:rsid w:val="00634812"/>
    <w:rsid w:val="00635A87"/>
    <w:rsid w:val="006375F6"/>
    <w:rsid w:val="00637F79"/>
    <w:rsid w:val="00641789"/>
    <w:rsid w:val="00647CA0"/>
    <w:rsid w:val="00650A3B"/>
    <w:rsid w:val="00651302"/>
    <w:rsid w:val="006533FB"/>
    <w:rsid w:val="00653693"/>
    <w:rsid w:val="00653986"/>
    <w:rsid w:val="006565F2"/>
    <w:rsid w:val="00657558"/>
    <w:rsid w:val="0066116E"/>
    <w:rsid w:val="00664201"/>
    <w:rsid w:val="006644A8"/>
    <w:rsid w:val="00664AED"/>
    <w:rsid w:val="00665DA6"/>
    <w:rsid w:val="00665DCA"/>
    <w:rsid w:val="00674E90"/>
    <w:rsid w:val="0067562E"/>
    <w:rsid w:val="006766CB"/>
    <w:rsid w:val="00676F02"/>
    <w:rsid w:val="00680D7A"/>
    <w:rsid w:val="00684BF9"/>
    <w:rsid w:val="00686C67"/>
    <w:rsid w:val="00692457"/>
    <w:rsid w:val="006977D8"/>
    <w:rsid w:val="006979ED"/>
    <w:rsid w:val="00697F55"/>
    <w:rsid w:val="006A3CEA"/>
    <w:rsid w:val="006A48D8"/>
    <w:rsid w:val="006B19C7"/>
    <w:rsid w:val="006B3A8F"/>
    <w:rsid w:val="006B508B"/>
    <w:rsid w:val="006B7022"/>
    <w:rsid w:val="006B7861"/>
    <w:rsid w:val="006C6745"/>
    <w:rsid w:val="006D5D08"/>
    <w:rsid w:val="006E0CF6"/>
    <w:rsid w:val="006E1578"/>
    <w:rsid w:val="006E5DD8"/>
    <w:rsid w:val="006F1C3C"/>
    <w:rsid w:val="006F2C1C"/>
    <w:rsid w:val="006F4B5D"/>
    <w:rsid w:val="00703F0E"/>
    <w:rsid w:val="007062C3"/>
    <w:rsid w:val="00706402"/>
    <w:rsid w:val="00707A62"/>
    <w:rsid w:val="007149B2"/>
    <w:rsid w:val="0071602D"/>
    <w:rsid w:val="007226C4"/>
    <w:rsid w:val="00727029"/>
    <w:rsid w:val="007300DC"/>
    <w:rsid w:val="00730430"/>
    <w:rsid w:val="007304BC"/>
    <w:rsid w:val="00732960"/>
    <w:rsid w:val="0073578A"/>
    <w:rsid w:val="00737098"/>
    <w:rsid w:val="00743B7D"/>
    <w:rsid w:val="00751F90"/>
    <w:rsid w:val="0075532D"/>
    <w:rsid w:val="0075728C"/>
    <w:rsid w:val="007576E1"/>
    <w:rsid w:val="00757CCD"/>
    <w:rsid w:val="007609C9"/>
    <w:rsid w:val="00763389"/>
    <w:rsid w:val="007638A2"/>
    <w:rsid w:val="007704D2"/>
    <w:rsid w:val="00771777"/>
    <w:rsid w:val="00774E67"/>
    <w:rsid w:val="007757BB"/>
    <w:rsid w:val="007775E3"/>
    <w:rsid w:val="00780244"/>
    <w:rsid w:val="00782B1A"/>
    <w:rsid w:val="00784435"/>
    <w:rsid w:val="00793B83"/>
    <w:rsid w:val="007A253A"/>
    <w:rsid w:val="007A3131"/>
    <w:rsid w:val="007A5BC5"/>
    <w:rsid w:val="007B2CC4"/>
    <w:rsid w:val="007B374D"/>
    <w:rsid w:val="007B3BBC"/>
    <w:rsid w:val="007B4015"/>
    <w:rsid w:val="007B713A"/>
    <w:rsid w:val="007B7B76"/>
    <w:rsid w:val="007C3170"/>
    <w:rsid w:val="007C3334"/>
    <w:rsid w:val="007C3A02"/>
    <w:rsid w:val="007C3BE1"/>
    <w:rsid w:val="007C3E8A"/>
    <w:rsid w:val="007D4023"/>
    <w:rsid w:val="007D7475"/>
    <w:rsid w:val="007E2669"/>
    <w:rsid w:val="007E72A9"/>
    <w:rsid w:val="007F2920"/>
    <w:rsid w:val="00801197"/>
    <w:rsid w:val="008016DC"/>
    <w:rsid w:val="00802756"/>
    <w:rsid w:val="008028A5"/>
    <w:rsid w:val="00803182"/>
    <w:rsid w:val="00803C0B"/>
    <w:rsid w:val="00803DD0"/>
    <w:rsid w:val="008040BC"/>
    <w:rsid w:val="00805A26"/>
    <w:rsid w:val="008100AC"/>
    <w:rsid w:val="008122E8"/>
    <w:rsid w:val="00813DF4"/>
    <w:rsid w:val="00814296"/>
    <w:rsid w:val="008178AB"/>
    <w:rsid w:val="00820DDC"/>
    <w:rsid w:val="00824121"/>
    <w:rsid w:val="008276A3"/>
    <w:rsid w:val="00832285"/>
    <w:rsid w:val="00835D6A"/>
    <w:rsid w:val="0084019D"/>
    <w:rsid w:val="00842C68"/>
    <w:rsid w:val="00856518"/>
    <w:rsid w:val="00860187"/>
    <w:rsid w:val="00860378"/>
    <w:rsid w:val="00866756"/>
    <w:rsid w:val="008668B6"/>
    <w:rsid w:val="00870C5D"/>
    <w:rsid w:val="00870D66"/>
    <w:rsid w:val="00876CDF"/>
    <w:rsid w:val="008823CB"/>
    <w:rsid w:val="00883A7B"/>
    <w:rsid w:val="00883FA2"/>
    <w:rsid w:val="00891C3B"/>
    <w:rsid w:val="00892006"/>
    <w:rsid w:val="00893ECA"/>
    <w:rsid w:val="00895056"/>
    <w:rsid w:val="008A1542"/>
    <w:rsid w:val="008A419A"/>
    <w:rsid w:val="008B28DD"/>
    <w:rsid w:val="008C0266"/>
    <w:rsid w:val="008C0417"/>
    <w:rsid w:val="008C1AB3"/>
    <w:rsid w:val="008C340A"/>
    <w:rsid w:val="008D4325"/>
    <w:rsid w:val="008D4AD1"/>
    <w:rsid w:val="008E06D5"/>
    <w:rsid w:val="008E41AA"/>
    <w:rsid w:val="008E5B5E"/>
    <w:rsid w:val="008F634B"/>
    <w:rsid w:val="0090425C"/>
    <w:rsid w:val="00905656"/>
    <w:rsid w:val="009062A3"/>
    <w:rsid w:val="00920C92"/>
    <w:rsid w:val="009278CD"/>
    <w:rsid w:val="0093354B"/>
    <w:rsid w:val="00934095"/>
    <w:rsid w:val="00936FB7"/>
    <w:rsid w:val="00943D91"/>
    <w:rsid w:val="00950AB6"/>
    <w:rsid w:val="00950C9E"/>
    <w:rsid w:val="009518FE"/>
    <w:rsid w:val="00951A1A"/>
    <w:rsid w:val="00960805"/>
    <w:rsid w:val="00962630"/>
    <w:rsid w:val="00963AA6"/>
    <w:rsid w:val="00966624"/>
    <w:rsid w:val="009727E6"/>
    <w:rsid w:val="00972ACA"/>
    <w:rsid w:val="00974D77"/>
    <w:rsid w:val="00976B69"/>
    <w:rsid w:val="009859CE"/>
    <w:rsid w:val="00993429"/>
    <w:rsid w:val="0099711F"/>
    <w:rsid w:val="00997318"/>
    <w:rsid w:val="009A0FCF"/>
    <w:rsid w:val="009A715E"/>
    <w:rsid w:val="009B3728"/>
    <w:rsid w:val="009B54A8"/>
    <w:rsid w:val="009B5B43"/>
    <w:rsid w:val="009B6036"/>
    <w:rsid w:val="009C027C"/>
    <w:rsid w:val="009C341A"/>
    <w:rsid w:val="009D22ED"/>
    <w:rsid w:val="009D5631"/>
    <w:rsid w:val="009E4B13"/>
    <w:rsid w:val="009E7073"/>
    <w:rsid w:val="009F202C"/>
    <w:rsid w:val="009F295A"/>
    <w:rsid w:val="009F362D"/>
    <w:rsid w:val="009F6C25"/>
    <w:rsid w:val="00A003B4"/>
    <w:rsid w:val="00A011E9"/>
    <w:rsid w:val="00A03CE3"/>
    <w:rsid w:val="00A04018"/>
    <w:rsid w:val="00A15155"/>
    <w:rsid w:val="00A15B16"/>
    <w:rsid w:val="00A171AD"/>
    <w:rsid w:val="00A20445"/>
    <w:rsid w:val="00A221D2"/>
    <w:rsid w:val="00A23884"/>
    <w:rsid w:val="00A247B9"/>
    <w:rsid w:val="00A26948"/>
    <w:rsid w:val="00A26E74"/>
    <w:rsid w:val="00A32270"/>
    <w:rsid w:val="00A3782F"/>
    <w:rsid w:val="00A405C0"/>
    <w:rsid w:val="00A44E01"/>
    <w:rsid w:val="00A517BA"/>
    <w:rsid w:val="00A5497C"/>
    <w:rsid w:val="00A622B9"/>
    <w:rsid w:val="00A640B0"/>
    <w:rsid w:val="00A64C2F"/>
    <w:rsid w:val="00A65B6F"/>
    <w:rsid w:val="00A7784F"/>
    <w:rsid w:val="00A80BA6"/>
    <w:rsid w:val="00A86B9A"/>
    <w:rsid w:val="00A91846"/>
    <w:rsid w:val="00A95497"/>
    <w:rsid w:val="00A96954"/>
    <w:rsid w:val="00AA0F10"/>
    <w:rsid w:val="00AA429F"/>
    <w:rsid w:val="00AA58EF"/>
    <w:rsid w:val="00AA5998"/>
    <w:rsid w:val="00AA6622"/>
    <w:rsid w:val="00AB226E"/>
    <w:rsid w:val="00AC5926"/>
    <w:rsid w:val="00AD1180"/>
    <w:rsid w:val="00AD33F9"/>
    <w:rsid w:val="00AE03C3"/>
    <w:rsid w:val="00AE0F4A"/>
    <w:rsid w:val="00AE2F4E"/>
    <w:rsid w:val="00AE68CF"/>
    <w:rsid w:val="00AF264F"/>
    <w:rsid w:val="00AF6CA6"/>
    <w:rsid w:val="00AF7255"/>
    <w:rsid w:val="00B00F1E"/>
    <w:rsid w:val="00B061DB"/>
    <w:rsid w:val="00B10751"/>
    <w:rsid w:val="00B10978"/>
    <w:rsid w:val="00B114CE"/>
    <w:rsid w:val="00B14FCE"/>
    <w:rsid w:val="00B1576C"/>
    <w:rsid w:val="00B200FF"/>
    <w:rsid w:val="00B21B22"/>
    <w:rsid w:val="00B25C88"/>
    <w:rsid w:val="00B30F80"/>
    <w:rsid w:val="00B336C6"/>
    <w:rsid w:val="00B35B23"/>
    <w:rsid w:val="00B36651"/>
    <w:rsid w:val="00B40490"/>
    <w:rsid w:val="00B43729"/>
    <w:rsid w:val="00B4391A"/>
    <w:rsid w:val="00B50E10"/>
    <w:rsid w:val="00B55D83"/>
    <w:rsid w:val="00B56B27"/>
    <w:rsid w:val="00B80269"/>
    <w:rsid w:val="00B83A4E"/>
    <w:rsid w:val="00B8468F"/>
    <w:rsid w:val="00B852A0"/>
    <w:rsid w:val="00B85B62"/>
    <w:rsid w:val="00B85FE2"/>
    <w:rsid w:val="00B92EA3"/>
    <w:rsid w:val="00B95E2D"/>
    <w:rsid w:val="00BA0056"/>
    <w:rsid w:val="00BA0409"/>
    <w:rsid w:val="00BA0DB2"/>
    <w:rsid w:val="00BA3031"/>
    <w:rsid w:val="00BA39C3"/>
    <w:rsid w:val="00BA49C3"/>
    <w:rsid w:val="00BA5E1A"/>
    <w:rsid w:val="00BA6860"/>
    <w:rsid w:val="00BB1E2B"/>
    <w:rsid w:val="00BB289F"/>
    <w:rsid w:val="00BB3FAE"/>
    <w:rsid w:val="00BB4DB7"/>
    <w:rsid w:val="00BC442A"/>
    <w:rsid w:val="00BC4FE4"/>
    <w:rsid w:val="00BD1D90"/>
    <w:rsid w:val="00BD233B"/>
    <w:rsid w:val="00BD3918"/>
    <w:rsid w:val="00BD4196"/>
    <w:rsid w:val="00BD5921"/>
    <w:rsid w:val="00BE1132"/>
    <w:rsid w:val="00BE1AB2"/>
    <w:rsid w:val="00BE7602"/>
    <w:rsid w:val="00BF06E6"/>
    <w:rsid w:val="00BF5145"/>
    <w:rsid w:val="00BF6EDF"/>
    <w:rsid w:val="00C1080B"/>
    <w:rsid w:val="00C11C5D"/>
    <w:rsid w:val="00C14A6F"/>
    <w:rsid w:val="00C17D66"/>
    <w:rsid w:val="00C207B2"/>
    <w:rsid w:val="00C21CA1"/>
    <w:rsid w:val="00C233A2"/>
    <w:rsid w:val="00C2487C"/>
    <w:rsid w:val="00C25669"/>
    <w:rsid w:val="00C260F7"/>
    <w:rsid w:val="00C3068B"/>
    <w:rsid w:val="00C30C11"/>
    <w:rsid w:val="00C36182"/>
    <w:rsid w:val="00C3668B"/>
    <w:rsid w:val="00C41973"/>
    <w:rsid w:val="00C44E8C"/>
    <w:rsid w:val="00C459F1"/>
    <w:rsid w:val="00C54F93"/>
    <w:rsid w:val="00C56490"/>
    <w:rsid w:val="00C725ED"/>
    <w:rsid w:val="00C73E00"/>
    <w:rsid w:val="00C77EEC"/>
    <w:rsid w:val="00C8021D"/>
    <w:rsid w:val="00C84FCF"/>
    <w:rsid w:val="00C90337"/>
    <w:rsid w:val="00C93740"/>
    <w:rsid w:val="00C97935"/>
    <w:rsid w:val="00CA0305"/>
    <w:rsid w:val="00CA2939"/>
    <w:rsid w:val="00CA3CDB"/>
    <w:rsid w:val="00CA65EE"/>
    <w:rsid w:val="00CB5B6B"/>
    <w:rsid w:val="00CB7578"/>
    <w:rsid w:val="00CC2A97"/>
    <w:rsid w:val="00CC3BED"/>
    <w:rsid w:val="00CC3D25"/>
    <w:rsid w:val="00CD3AE3"/>
    <w:rsid w:val="00CD7329"/>
    <w:rsid w:val="00CE7265"/>
    <w:rsid w:val="00CF1A5F"/>
    <w:rsid w:val="00CF539B"/>
    <w:rsid w:val="00CF6443"/>
    <w:rsid w:val="00D1552F"/>
    <w:rsid w:val="00D27875"/>
    <w:rsid w:val="00D31932"/>
    <w:rsid w:val="00D31E80"/>
    <w:rsid w:val="00D33EF4"/>
    <w:rsid w:val="00D37A45"/>
    <w:rsid w:val="00D41E4E"/>
    <w:rsid w:val="00D41E6B"/>
    <w:rsid w:val="00D43E49"/>
    <w:rsid w:val="00D449B3"/>
    <w:rsid w:val="00D458F5"/>
    <w:rsid w:val="00D50266"/>
    <w:rsid w:val="00D53B93"/>
    <w:rsid w:val="00D5503C"/>
    <w:rsid w:val="00D550C2"/>
    <w:rsid w:val="00D57227"/>
    <w:rsid w:val="00D61A74"/>
    <w:rsid w:val="00D645DB"/>
    <w:rsid w:val="00D64DFF"/>
    <w:rsid w:val="00D664BE"/>
    <w:rsid w:val="00D66A23"/>
    <w:rsid w:val="00D66E16"/>
    <w:rsid w:val="00D70826"/>
    <w:rsid w:val="00D8630C"/>
    <w:rsid w:val="00D91352"/>
    <w:rsid w:val="00DA05EB"/>
    <w:rsid w:val="00DA72CD"/>
    <w:rsid w:val="00DB4352"/>
    <w:rsid w:val="00DB43E8"/>
    <w:rsid w:val="00DB5395"/>
    <w:rsid w:val="00DB66B7"/>
    <w:rsid w:val="00DC26EF"/>
    <w:rsid w:val="00DC4ACF"/>
    <w:rsid w:val="00DC5A03"/>
    <w:rsid w:val="00DD4A63"/>
    <w:rsid w:val="00DE1B69"/>
    <w:rsid w:val="00DE4898"/>
    <w:rsid w:val="00DF3C11"/>
    <w:rsid w:val="00DF49B5"/>
    <w:rsid w:val="00DF5F9C"/>
    <w:rsid w:val="00E02E89"/>
    <w:rsid w:val="00E038F7"/>
    <w:rsid w:val="00E03949"/>
    <w:rsid w:val="00E112BF"/>
    <w:rsid w:val="00E17C8C"/>
    <w:rsid w:val="00E17DD7"/>
    <w:rsid w:val="00E30649"/>
    <w:rsid w:val="00E34AC0"/>
    <w:rsid w:val="00E35AEA"/>
    <w:rsid w:val="00E42A29"/>
    <w:rsid w:val="00E438CB"/>
    <w:rsid w:val="00E54E1B"/>
    <w:rsid w:val="00E60948"/>
    <w:rsid w:val="00E62E91"/>
    <w:rsid w:val="00E66940"/>
    <w:rsid w:val="00E66B6F"/>
    <w:rsid w:val="00E70068"/>
    <w:rsid w:val="00E70724"/>
    <w:rsid w:val="00E73211"/>
    <w:rsid w:val="00E76468"/>
    <w:rsid w:val="00E7748D"/>
    <w:rsid w:val="00E80003"/>
    <w:rsid w:val="00E80EFF"/>
    <w:rsid w:val="00E838DF"/>
    <w:rsid w:val="00E83E7A"/>
    <w:rsid w:val="00E87C03"/>
    <w:rsid w:val="00E87DE2"/>
    <w:rsid w:val="00E933EA"/>
    <w:rsid w:val="00E9411F"/>
    <w:rsid w:val="00E950F2"/>
    <w:rsid w:val="00E9731C"/>
    <w:rsid w:val="00EB17EF"/>
    <w:rsid w:val="00EB192E"/>
    <w:rsid w:val="00EB373C"/>
    <w:rsid w:val="00EB49C5"/>
    <w:rsid w:val="00EC470E"/>
    <w:rsid w:val="00EC512A"/>
    <w:rsid w:val="00ED190D"/>
    <w:rsid w:val="00ED635B"/>
    <w:rsid w:val="00ED6440"/>
    <w:rsid w:val="00EE3D70"/>
    <w:rsid w:val="00EE4C63"/>
    <w:rsid w:val="00EE6C02"/>
    <w:rsid w:val="00EE7218"/>
    <w:rsid w:val="00EF3033"/>
    <w:rsid w:val="00EF506B"/>
    <w:rsid w:val="00F044BF"/>
    <w:rsid w:val="00F060C5"/>
    <w:rsid w:val="00F06B61"/>
    <w:rsid w:val="00F078F8"/>
    <w:rsid w:val="00F12383"/>
    <w:rsid w:val="00F13B27"/>
    <w:rsid w:val="00F13DF1"/>
    <w:rsid w:val="00F15A54"/>
    <w:rsid w:val="00F16DC2"/>
    <w:rsid w:val="00F17D7A"/>
    <w:rsid w:val="00F21FA3"/>
    <w:rsid w:val="00F231DE"/>
    <w:rsid w:val="00F3038F"/>
    <w:rsid w:val="00F30B8A"/>
    <w:rsid w:val="00F3126D"/>
    <w:rsid w:val="00F315EC"/>
    <w:rsid w:val="00F31F81"/>
    <w:rsid w:val="00F37CE9"/>
    <w:rsid w:val="00F46456"/>
    <w:rsid w:val="00F517A6"/>
    <w:rsid w:val="00F533BB"/>
    <w:rsid w:val="00F55E4F"/>
    <w:rsid w:val="00F56870"/>
    <w:rsid w:val="00F616DC"/>
    <w:rsid w:val="00F67C20"/>
    <w:rsid w:val="00F750B7"/>
    <w:rsid w:val="00F76143"/>
    <w:rsid w:val="00F867EA"/>
    <w:rsid w:val="00F869AA"/>
    <w:rsid w:val="00F87339"/>
    <w:rsid w:val="00F902E7"/>
    <w:rsid w:val="00F93D1A"/>
    <w:rsid w:val="00F95EBE"/>
    <w:rsid w:val="00F961F8"/>
    <w:rsid w:val="00F97EB4"/>
    <w:rsid w:val="00FA38BB"/>
    <w:rsid w:val="00FA53A7"/>
    <w:rsid w:val="00FA61AF"/>
    <w:rsid w:val="00FB3105"/>
    <w:rsid w:val="00FC06A2"/>
    <w:rsid w:val="00FC14B5"/>
    <w:rsid w:val="00FC4EE0"/>
    <w:rsid w:val="00FD07CA"/>
    <w:rsid w:val="00FD0CE3"/>
    <w:rsid w:val="00FE1393"/>
    <w:rsid w:val="00FF038E"/>
    <w:rsid w:val="00FF5DCF"/>
    <w:rsid w:val="0CCA96FE"/>
    <w:rsid w:val="17541B09"/>
    <w:rsid w:val="2849A32B"/>
    <w:rsid w:val="29BF0BFA"/>
    <w:rsid w:val="2AE84647"/>
    <w:rsid w:val="386523CA"/>
    <w:rsid w:val="42495458"/>
    <w:rsid w:val="4968ED94"/>
    <w:rsid w:val="4E714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ru v:ext="edit" colors="#fdb302,#902b6a,#003176,#c5c5c5,#153170"/>
      <o:colormenu v:ext="edit" strokecolor="none [2415]" fillcolor="none [3213]"/>
    </o:shapedefaults>
    <o:shapelayout v:ext="edit">
      <o:idmap v:ext="edit" data="1,2,5"/>
      <o:rules v:ext="edit">
        <o:r id="V:Rule12" type="connector" idref="#_x0000_s2518">
          <o:proxy start="" idref="#_x0000_s2515" connectloc="2"/>
          <o:proxy end="" idref="#_x0000_s2519" connectloc="0"/>
        </o:r>
        <o:r id="V:Rule13" type="connector" idref="#_x0000_s2516">
          <o:proxy start="" idref="#_x0000_s2513" connectloc="2"/>
          <o:proxy end="" idref="#_x0000_s2514" connectloc="0"/>
        </o:r>
        <o:r id="V:Rule14" type="connector" idref="#_x0000_s2583"/>
        <o:r id="V:Rule15" type="connector" idref="#_x0000_s2584"/>
        <o:r id="V:Rule16" type="connector" idref="#_x0000_s2517">
          <o:proxy start="" idref="#_x0000_s2513" connectloc="2"/>
          <o:proxy end="" idref="#_x0000_s2515" connectloc="0"/>
        </o:r>
        <o:r id="V:Rule17" type="connector" idref="#_x0000_s2523">
          <o:proxy end="" idref="#_x0000_s2526" connectloc="0"/>
        </o:r>
        <o:r id="V:Rule18" type="connector" idref="#_x0000_s2531">
          <o:proxy start="" idref="#_x0000_s2512" connectloc="2"/>
          <o:proxy end="" idref="#_x0000_s2513" connectloc="0"/>
        </o:r>
        <o:r id="V:Rule19" type="connector" idref="#_x0000_s2522"/>
        <o:r id="V:Rule20" type="connector" idref="#_x0000_s5281">
          <o:proxy start="" idref="#_x0000_s5280" connectloc="2"/>
          <o:proxy end="" idref="#_x0000_s2514" connectloc="0"/>
        </o:r>
        <o:r id="V:Rule21" type="connector" idref="#_x0000_s2521">
          <o:proxy start="" idref="#_x0000_s2515" connectloc="2"/>
          <o:proxy end="" idref="#_x0000_s2520" connectloc="0"/>
        </o:r>
        <o:r id="V:Rule22" type="connector" idref="#_x0000_s2582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</o:regrouptable>
    </o:shapelayout>
  </w:shapeDefaults>
  <w:decimalSymbol w:val=","/>
  <w:listSeparator w:val=";"/>
  <w14:docId w14:val="41FE39E2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cs="Times New Roman" w:eastAsiaTheme="minorHAnsi"/>
        <w:sz w:val="24"/>
        <w:szCs w:val="24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434B9"/>
    <w:pPr>
      <w:spacing w:before="120" w:line="288" w:lineRule="auto"/>
      <w:jc w:val="both"/>
    </w:pPr>
    <w:rPr>
      <w:rFonts w:eastAsia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05EB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eastAsia="Times New Roman"/>
      <w:b/>
      <w:kern w:val="28"/>
      <w:sz w:val="28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296DE9"/>
    <w:pPr>
      <w:keepNext/>
      <w:tabs>
        <w:tab w:val="left" w:pos="3686"/>
        <w:tab w:val="left" w:pos="6237"/>
      </w:tabs>
      <w:overflowPunct w:val="0"/>
      <w:autoSpaceDE w:val="0"/>
      <w:autoSpaceDN w:val="0"/>
      <w:adjustRightInd w:val="0"/>
      <w:textAlignment w:val="baseline"/>
      <w:outlineLvl w:val="1"/>
    </w:pPr>
    <w:rPr>
      <w:rFonts w:eastAsia="Times New Roman"/>
      <w:b/>
      <w:sz w:val="26"/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578A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1132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E1132"/>
    <w:rPr>
      <w:rFonts w:ascii="Tahoma" w:hAnsi="Tahoma" w:eastAsia="Calibri" w:cs="Tahoma"/>
      <w:sz w:val="16"/>
      <w:szCs w:val="16"/>
    </w:rPr>
  </w:style>
  <w:style w:type="character" w:styleId="Heading1Char" w:customStyle="1">
    <w:name w:val="Heading 1 Char"/>
    <w:basedOn w:val="DefaultParagraphFont"/>
    <w:link w:val="Heading1"/>
    <w:uiPriority w:val="9"/>
    <w:rsid w:val="00DA05EB"/>
    <w:rPr>
      <w:rFonts w:eastAsia="Times New Roman"/>
      <w:b/>
      <w:kern w:val="28"/>
      <w:sz w:val="28"/>
      <w:szCs w:val="20"/>
      <w:lang w:val="en-US"/>
    </w:rPr>
  </w:style>
  <w:style w:type="character" w:styleId="Heading2Char" w:customStyle="1">
    <w:name w:val="Heading 2 Char"/>
    <w:basedOn w:val="DefaultParagraphFont"/>
    <w:link w:val="Heading2"/>
    <w:rsid w:val="00296DE9"/>
    <w:rPr>
      <w:rFonts w:eastAsia="Times New Roman"/>
      <w:b/>
      <w:sz w:val="26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E1132"/>
    <w:pPr>
      <w:ind w:left="720"/>
      <w:contextualSpacing/>
    </w:pPr>
  </w:style>
  <w:style w:type="table" w:styleId="TableGrid">
    <w:name w:val="Table Grid"/>
    <w:basedOn w:val="TableNormal"/>
    <w:rsid w:val="00A622B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S02" w:customStyle="1">
    <w:name w:val="NAS_02"/>
    <w:basedOn w:val="NoSpacing"/>
    <w:qFormat/>
    <w:rsid w:val="00DA72CD"/>
    <w:pPr>
      <w:spacing w:after="200"/>
    </w:pPr>
    <w:rPr>
      <w:rFonts w:ascii="Arial Narrow" w:hAnsi="Arial Narrow" w:eastAsiaTheme="majorEastAsia" w:cstheme="majorBidi"/>
      <w:b/>
      <w:sz w:val="28"/>
      <w:szCs w:val="72"/>
      <w:lang w:val="bs-Latn-BA"/>
    </w:rPr>
  </w:style>
  <w:style w:type="paragraph" w:styleId="NoSpacing">
    <w:name w:val="No Spacing"/>
    <w:uiPriority w:val="1"/>
    <w:qFormat/>
    <w:rsid w:val="00DA72CD"/>
    <w:rPr>
      <w:rFonts w:eastAsia="Calibri"/>
    </w:rPr>
  </w:style>
  <w:style w:type="paragraph" w:styleId="FootnoteText">
    <w:name w:val="footnote text"/>
    <w:basedOn w:val="Normal"/>
    <w:link w:val="FootnoteTextChar"/>
    <w:uiPriority w:val="99"/>
    <w:unhideWhenUsed/>
    <w:rsid w:val="00C54F93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C54F93"/>
    <w:rPr>
      <w:rFonts w:eastAsia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4F93"/>
    <w:rPr>
      <w:vertAlign w:val="superscript"/>
    </w:rPr>
  </w:style>
  <w:style w:type="table" w:styleId="LightShading1" w:customStyle="1">
    <w:name w:val="Light Shading1"/>
    <w:basedOn w:val="TableNormal"/>
    <w:uiPriority w:val="60"/>
    <w:rsid w:val="000C15A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66420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D5D08"/>
    <w:pPr>
      <w:tabs>
        <w:tab w:val="center" w:pos="4536"/>
        <w:tab w:val="right" w:pos="9072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6D5D08"/>
    <w:rPr>
      <w:rFonts w:eastAsia="Calibri"/>
    </w:rPr>
  </w:style>
  <w:style w:type="paragraph" w:styleId="Footer">
    <w:name w:val="footer"/>
    <w:basedOn w:val="Normal"/>
    <w:link w:val="FooterChar"/>
    <w:uiPriority w:val="99"/>
    <w:unhideWhenUsed/>
    <w:rsid w:val="006D5D08"/>
    <w:pPr>
      <w:tabs>
        <w:tab w:val="center" w:pos="4536"/>
        <w:tab w:val="right" w:pos="9072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D5D08"/>
    <w:rPr>
      <w:rFonts w:eastAsia="Calibri"/>
    </w:rPr>
  </w:style>
  <w:style w:type="paragraph" w:styleId="TOC1">
    <w:name w:val="toc 1"/>
    <w:basedOn w:val="Normal"/>
    <w:next w:val="Normal"/>
    <w:autoRedefine/>
    <w:uiPriority w:val="39"/>
    <w:unhideWhenUsed/>
    <w:rsid w:val="00E30649"/>
    <w:pPr>
      <w:tabs>
        <w:tab w:val="right" w:leader="dot" w:pos="9062"/>
      </w:tabs>
      <w:spacing w:after="100"/>
      <w:ind w:left="1134" w:hanging="1134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5E15B5"/>
    <w:pPr>
      <w:tabs>
        <w:tab w:val="right" w:leader="dot" w:pos="9062"/>
      </w:tabs>
      <w:spacing w:after="100"/>
      <w:ind w:left="709" w:hanging="469"/>
    </w:pPr>
  </w:style>
  <w:style w:type="paragraph" w:styleId="BodyText">
    <w:name w:val="Body Text"/>
    <w:basedOn w:val="Normal"/>
    <w:link w:val="BodyTextChar"/>
    <w:rsid w:val="00AA5998"/>
    <w:pPr>
      <w:spacing w:line="360" w:lineRule="auto"/>
    </w:pPr>
    <w:rPr>
      <w:rFonts w:eastAsia="Times New Roman"/>
      <w:lang w:eastAsia="hr-HR"/>
    </w:rPr>
  </w:style>
  <w:style w:type="character" w:styleId="BodyTextChar" w:customStyle="1">
    <w:name w:val="Body Text Char"/>
    <w:basedOn w:val="DefaultParagraphFont"/>
    <w:link w:val="BodyText"/>
    <w:rsid w:val="00AA5998"/>
    <w:rPr>
      <w:rFonts w:eastAsia="Times New Roman"/>
      <w:szCs w:val="24"/>
      <w:lang w:eastAsia="hr-HR"/>
    </w:rPr>
  </w:style>
  <w:style w:type="paragraph" w:styleId="Slika" w:customStyle="1">
    <w:name w:val="Slika"/>
    <w:basedOn w:val="Normal"/>
    <w:qFormat/>
    <w:rsid w:val="0073578A"/>
    <w:pPr>
      <w:jc w:val="center"/>
    </w:pPr>
    <w:rPr>
      <w:sz w:val="20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73578A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73578A"/>
  </w:style>
  <w:style w:type="paragraph" w:styleId="Tabela" w:customStyle="1">
    <w:name w:val="Tabela"/>
    <w:basedOn w:val="Normal"/>
    <w:qFormat/>
    <w:rsid w:val="00362E46"/>
    <w:pPr>
      <w:spacing w:line="240" w:lineRule="auto"/>
    </w:pPr>
    <w:rPr>
      <w:sz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668B6"/>
    <w:pPr>
      <w:spacing w:line="240" w:lineRule="auto"/>
    </w:pPr>
    <w:rPr>
      <w:rFonts w:ascii="Tahoma" w:hAnsi="Tahoma" w:cs="Tahom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8668B6"/>
    <w:rPr>
      <w:rFonts w:ascii="Tahoma" w:hAnsi="Tahoma" w:eastAsia="Calibri" w:cs="Tahoma"/>
      <w:sz w:val="16"/>
      <w:szCs w:val="16"/>
    </w:rPr>
  </w:style>
  <w:style w:type="paragraph" w:styleId="TOC3">
    <w:name w:val="toc 3"/>
    <w:basedOn w:val="Normal"/>
    <w:next w:val="Normal"/>
    <w:autoRedefine/>
    <w:uiPriority w:val="39"/>
    <w:unhideWhenUsed/>
    <w:rsid w:val="00485E26"/>
    <w:pPr>
      <w:spacing w:after="100" w:line="276" w:lineRule="auto"/>
      <w:ind w:left="440"/>
    </w:pPr>
    <w:rPr>
      <w:rFonts w:asciiTheme="minorHAnsi" w:hAnsiTheme="minorHAnsi" w:eastAsiaTheme="minorEastAsia" w:cstheme="minorBidi"/>
      <w:sz w:val="22"/>
      <w:lang w:eastAsia="hr-HR"/>
    </w:rPr>
  </w:style>
  <w:style w:type="paragraph" w:styleId="TOC4">
    <w:name w:val="toc 4"/>
    <w:basedOn w:val="Normal"/>
    <w:next w:val="Normal"/>
    <w:autoRedefine/>
    <w:uiPriority w:val="39"/>
    <w:unhideWhenUsed/>
    <w:rsid w:val="00485E26"/>
    <w:pPr>
      <w:spacing w:after="100" w:line="276" w:lineRule="auto"/>
      <w:ind w:left="660"/>
    </w:pPr>
    <w:rPr>
      <w:rFonts w:asciiTheme="minorHAnsi" w:hAnsiTheme="minorHAnsi" w:eastAsiaTheme="minorEastAsia" w:cstheme="minorBidi"/>
      <w:sz w:val="22"/>
      <w:lang w:eastAsia="hr-HR"/>
    </w:rPr>
  </w:style>
  <w:style w:type="paragraph" w:styleId="TOC5">
    <w:name w:val="toc 5"/>
    <w:basedOn w:val="Normal"/>
    <w:next w:val="Normal"/>
    <w:autoRedefine/>
    <w:uiPriority w:val="39"/>
    <w:unhideWhenUsed/>
    <w:rsid w:val="00485E26"/>
    <w:pPr>
      <w:spacing w:after="100" w:line="276" w:lineRule="auto"/>
      <w:ind w:left="880"/>
    </w:pPr>
    <w:rPr>
      <w:rFonts w:asciiTheme="minorHAnsi" w:hAnsiTheme="minorHAnsi" w:eastAsiaTheme="minorEastAsia" w:cstheme="minorBidi"/>
      <w:sz w:val="22"/>
      <w:lang w:eastAsia="hr-HR"/>
    </w:rPr>
  </w:style>
  <w:style w:type="paragraph" w:styleId="TOC6">
    <w:name w:val="toc 6"/>
    <w:basedOn w:val="Normal"/>
    <w:next w:val="Normal"/>
    <w:autoRedefine/>
    <w:uiPriority w:val="39"/>
    <w:unhideWhenUsed/>
    <w:rsid w:val="00485E26"/>
    <w:pPr>
      <w:spacing w:after="100" w:line="276" w:lineRule="auto"/>
      <w:ind w:left="1100"/>
    </w:pPr>
    <w:rPr>
      <w:rFonts w:asciiTheme="minorHAnsi" w:hAnsiTheme="minorHAnsi" w:eastAsiaTheme="minorEastAsia" w:cstheme="minorBidi"/>
      <w:sz w:val="22"/>
      <w:lang w:eastAsia="hr-HR"/>
    </w:rPr>
  </w:style>
  <w:style w:type="paragraph" w:styleId="TOC7">
    <w:name w:val="toc 7"/>
    <w:basedOn w:val="Normal"/>
    <w:next w:val="Normal"/>
    <w:autoRedefine/>
    <w:uiPriority w:val="39"/>
    <w:unhideWhenUsed/>
    <w:rsid w:val="00485E26"/>
    <w:pPr>
      <w:spacing w:after="100" w:line="276" w:lineRule="auto"/>
      <w:ind w:left="1320"/>
    </w:pPr>
    <w:rPr>
      <w:rFonts w:asciiTheme="minorHAnsi" w:hAnsiTheme="minorHAnsi" w:eastAsiaTheme="minorEastAsia" w:cstheme="minorBidi"/>
      <w:sz w:val="22"/>
      <w:lang w:eastAsia="hr-HR"/>
    </w:rPr>
  </w:style>
  <w:style w:type="paragraph" w:styleId="TOC8">
    <w:name w:val="toc 8"/>
    <w:basedOn w:val="Normal"/>
    <w:next w:val="Normal"/>
    <w:autoRedefine/>
    <w:uiPriority w:val="39"/>
    <w:unhideWhenUsed/>
    <w:rsid w:val="00485E26"/>
    <w:pPr>
      <w:spacing w:after="100" w:line="276" w:lineRule="auto"/>
      <w:ind w:left="1540"/>
    </w:pPr>
    <w:rPr>
      <w:rFonts w:asciiTheme="minorHAnsi" w:hAnsiTheme="minorHAnsi" w:eastAsiaTheme="minorEastAsia" w:cstheme="minorBidi"/>
      <w:sz w:val="22"/>
      <w:lang w:eastAsia="hr-HR"/>
    </w:rPr>
  </w:style>
  <w:style w:type="paragraph" w:styleId="TOC9">
    <w:name w:val="toc 9"/>
    <w:basedOn w:val="Normal"/>
    <w:next w:val="Normal"/>
    <w:autoRedefine/>
    <w:uiPriority w:val="39"/>
    <w:unhideWhenUsed/>
    <w:rsid w:val="00485E26"/>
    <w:pPr>
      <w:spacing w:after="100" w:line="276" w:lineRule="auto"/>
      <w:ind w:left="1760"/>
    </w:pPr>
    <w:rPr>
      <w:rFonts w:asciiTheme="minorHAnsi" w:hAnsiTheme="minorHAnsi" w:eastAsiaTheme="minorEastAsia" w:cstheme="minorBidi"/>
      <w:sz w:val="22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697F55"/>
    <w:pPr>
      <w:spacing w:before="100" w:beforeAutospacing="1" w:after="100" w:afterAutospacing="1" w:line="240" w:lineRule="auto"/>
    </w:pPr>
    <w:rPr>
      <w:rFonts w:eastAsiaTheme="minorEastAsia"/>
      <w:lang w:val="bs-Latn-BA" w:eastAsia="bs-Latn-BA"/>
    </w:rPr>
  </w:style>
  <w:style w:type="paragraph" w:styleId="Bibliography">
    <w:name w:val="Bibliography"/>
    <w:basedOn w:val="Normal"/>
    <w:next w:val="Normal"/>
    <w:uiPriority w:val="37"/>
    <w:unhideWhenUsed/>
    <w:rsid w:val="00D645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6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Ana09</b:Tag>
    <b:SourceType>Report</b:SourceType>
    <b:Guid>{8AE629B4-EA9B-48D2-8251-B2A06E80CB0F}</b:Guid>
    <b:LCID>0</b:LCID>
    <b:Author>
      <b:Author>
        <b:Corporate>Analysis Mason, Econ i Hogan&amp;Hartson</b:Corporate>
      </b:Author>
    </b:Author>
    <b:Title>‘Exploiting the digital dividend’ – a European approach</b:Title>
    <b:Year>2009</b:Year>
    <b:Publisher>Analysys Mason Limited</b:Publisher>
    <b:RefOrder>3</b:RefOrder>
  </b:Source>
  <b:Source>
    <b:Tag>DTT</b:Tag>
    <b:SourceType>Report</b:SourceType>
    <b:Guid>{EC04A95F-3125-41E5-8FAD-1F7BB5A3B593}</b:Guid>
    <b:LCID>0</b:LCID>
    <b:Author>
      <b:Author>
        <b:Corporate>DTT Forum</b:Corporate>
      </b:Author>
    </b:Author>
    <b:Title>Strategija prelaska sa analogne na digitalnu zemaljsku radiodifuziju u frekvencijskim opsezima 174-230 MHz i 470-862 MHz u Bosni i Hercegovini</b:Title>
    <b:Year>2009</b:Year>
    <b:RefOrder>2</b:RefOrder>
  </b:Source>
  <b:Source>
    <b:Tag>Bor11</b:Tag>
    <b:SourceType>JournalArticle</b:SourceType>
    <b:Guid>{A25A52D0-D155-472E-B099-1E07DEFF8454}</b:Guid>
    <b:LCID>0</b:LCID>
    <b:Author>
      <b:Author>
        <b:NameList>
          <b:Person>
            <b:Last>Börnsen</b:Last>
            <b:First>Arne</b:First>
          </b:Person>
          <b:Person>
            <b:Last>Braulke</b:Last>
            <b:First>Tim</b:First>
          </b:Person>
          <b:Person>
            <b:Last>Kruse</b:Last>
            <b:First>Jörn</b:First>
          </b:Person>
          <b:Person>
            <b:Last>Latzer</b:Last>
            <b:First>Michael</b:First>
          </b:Person>
        </b:NameList>
      </b:Author>
    </b:Author>
    <b:Title>The Allocation of the Digital Dividend in Austria</b:Title>
    <b:Year>2011</b:Year>
    <b:JournalName>International Journal of Digital Television</b:JournalName>
    <b:RefOrder>6</b:RefOrder>
  </b:Source>
  <b:Source>
    <b:Tag>COM07</b:Tag>
    <b:SourceType>Report</b:SourceType>
    <b:Guid>{BA945375-7347-4FE8-BBD4-C4E0DBD19E30}</b:Guid>
    <b:LCID>0</b:LCID>
    <b:Author>
      <b:Author>
        <b:Corporate>Commission COM/2007/700</b:Corporate>
      </b:Author>
    </b:Author>
    <b:Title>Reaping the full benefits of the digital dividend in Europe: A common approach to use of the spectrum released by the digital switchover</b:Title>
    <b:City>Brussels</b:City>
    <b:RefOrder>5</b:RefOrder>
  </b:Source>
  <b:Source>
    <b:Tag>Com1</b:Tag>
    <b:SourceType>Report</b:SourceType>
    <b:Guid>{84E3474D-A4D7-49D3-982C-CB30E9604500}</b:Guid>
    <b:LCID>0</b:LCID>
    <b:Author>
      <b:Author>
        <b:Corporate>Commission 2009/848/EC</b:Corporate>
      </b:Author>
    </b:Author>
    <b:Title>Commission Reommendation of 28 October 2009 facilitating the release of the digital dividend in the European Union</b:Title>
    <b:RefOrder>1</b:RefOrder>
  </b:Source>
  <b:Source>
    <b:Tag>Com</b:Tag>
    <b:SourceType>Report</b:SourceType>
    <b:Guid>{651AFA2D-3C62-4ECF-ADC5-2F0F8355BFCC}</b:Guid>
    <b:LCID>0</b:LCID>
    <b:Author>
      <b:Author>
        <b:Corporate>Commission 2009/586/2</b:Corporate>
      </b:Author>
    </b:Author>
    <b:Title>Transforming the digital dividend into social benefits and economic growth</b:Title>
    <b:RefOrder>7</b:RefOrder>
  </b:Source>
  <b:Source>
    <b:Tag>Cul12</b:Tag>
    <b:SourceType>Report</b:SourceType>
    <b:Guid>{70F914B7-1F83-480C-BEB1-A256239A92B5}</b:Guid>
    <b:LCID>0</b:LCID>
    <b:Author>
      <b:Author>
        <b:Corporate>Cullen International</b:Corporate>
      </b:Author>
    </b:Author>
    <b:Title>Supply of services in monitoring regulatory and market developments for electronic communications and information society services in Enlargement Countries</b:Title>
    <b:Year>2012</b:Year>
    <b:RefOrder>4</b:RefOrder>
  </b:Source>
  <b:Source>
    <b:Tag>MBB</b:Tag>
    <b:SourceType>Report</b:SourceType>
    <b:Guid>{57FAD9E2-47BD-422D-B067-FECA2C24015C}</b:Guid>
    <b:LCID>0</b:LCID>
    <b:Author>
      <b:Author>
        <b:Corporate>MBB</b:Corporate>
      </b:Author>
    </b:Author>
    <b:Title>Germany‘s digital dividend. Transmission of television and internet via broadcast spectrum - The first analogue-digital switchover of terrestrial television transmission – five years on</b:Title>
    <b:Publisher>Königsdruck</b:Publisher>
    <b:City>Berlin</b:City>
    <b:RefOrder>21</b:RefOrder>
  </b:Source>
  <b:Source>
    <b:Tag>Góm11</b:Tag>
    <b:SourceType>JournalArticle</b:SourceType>
    <b:Guid>{DE6083B0-C185-4E81-99EC-8C4968B0EC61}</b:Guid>
    <b:LCID>0</b:LCID>
    <b:Author>
      <b:Author>
        <b:NameList>
          <b:Person>
            <b:Last>Gómez-Barroso</b:Last>
            <b:First>José</b:First>
            <b:Middle>Luis</b:Middle>
          </b:Person>
          <b:Person>
            <b:Last>Mochón</b:Last>
            <b:First>Asunción</b:First>
          </b:Person>
          <b:Person>
            <b:Last>Sáez</b:Last>
            <b:First>Yago</b:First>
          </b:Person>
          <b:Person>
            <b:Last>Feijóo</b:Last>
            <b:First>Claudio</b:First>
          </b:Person>
        </b:NameList>
      </b:Author>
    </b:Author>
    <b:Title>The importance of the size of the digital dividend when digital dividend spectrum is auctioned</b:Title>
    <b:Year>2011</b:Year>
    <b:Publisher>Inderscience Publishers</b:Publisher>
    <b:JournalName>International Journal of Mobile Communications</b:JournalName>
    <b:Pages>57-75</b:Pages>
    <b:Volume>9</b:Volume>
    <b:Issue>1</b:Issue>
    <b:RefOrder>8</b:RefOrder>
  </b:Source>
  <b:Source>
    <b:Tag>Rat12</b:Tag>
    <b:SourceType>ConferenceProceedings</b:SourceType>
    <b:Guid>{D62896F3-9EE2-4B4B-A5A5-5DFCCAF74FC8}</b:Guid>
    <b:LCID>0</b:LCID>
    <b:Author>
      <b:Author>
        <b:NameList>
          <b:Person>
            <b:Last>Ratkaj</b:Last>
            <b:First>Darko</b:First>
          </b:Person>
        </b:NameList>
      </b:Author>
    </b:Author>
    <b:Title>Digital Dividend Insight</b:Title>
    <b:Year>2012</b:Year>
    <b:ConferenceName>SEE Digi.TV Project - First Transnational Project Conference</b:ConferenceName>
    <b:Publisher>EBU Technical</b:Publisher>
    <b:URL>http://www.see-digi.tv/shared_files/Comm.%20material/Trieste/ratkaj_ebu_digital_dividend_insight.pdf</b:URL>
    <b:RefOrder>13</b:RefOrder>
  </b:Source>
  <b:Source>
    <b:Tag>For08</b:Tag>
    <b:SourceType>JournalArticle</b:SourceType>
    <b:Guid>{38C3BFA4-A8B5-4584-8076-511E39A4FC5F}</b:Guid>
    <b:LCID>0</b:LCID>
    <b:Author>
      <b:Author>
        <b:NameList>
          <b:Person>
            <b:Last>Forge</b:Last>
            <b:First>Simon</b:First>
          </b:Person>
          <b:Person>
            <b:Last>Blackman</b:Last>
            <b:First>Colin</b:First>
          </b:Person>
          <b:Person>
            <b:Last>Bohlin</b:Last>
            <b:First>Erik</b:First>
          </b:Person>
        </b:NameList>
      </b:Author>
    </b:Author>
    <b:Title>Economic Impacts of Alternative Uses of the Digital Dividend</b:Title>
    <b:Year>2008</b:Year>
    <b:JournalName>Spectrum Management</b:JournalName>
    <b:Pages>149-162</b:Pages>
    <b:RefOrder>18</b:RefOrder>
  </b:Source>
  <b:Source>
    <b:Tag>HAK121</b:Tag>
    <b:SourceType>DocumentFromInternetSite</b:SourceType>
    <b:Guid>{D3F1D397-8834-4051-A72B-97934DC16E6E}</b:Guid>
    <b:LCID>0</b:LCID>
    <b:Author>
      <b:Author>
        <b:Corporate>HAKOM</b:Corporate>
      </b:Author>
    </b:Author>
    <b:Year>2012</b:Year>
    <b:URL>http://www.hakom.hr/UserDocsImages/2012/vijesti_i_najave/VL-RK-DO-INTS-Info_poziv_DD-20120912_.pdf</b:URL>
    <b:Title>Dodatne informacije o dodjeli radiofrekvencijskog spektra 791-821/832-862 MHz</b:Title>
    <b:InternetSiteTitle>HAKOM</b:InternetSiteTitle>
    <b:YearAccessed>2012</b:YearAccessed>
    <b:MonthAccessed>10</b:MonthAccessed>
    <b:DayAccessed>23</b:DayAccessed>
    <b:RefOrder>11</b:RefOrder>
  </b:Source>
  <b:Source>
    <b:Tag>ACM10</b:Tag>
    <b:SourceType>Report</b:SourceType>
    <b:Guid>{FBE5CD86-539F-47DC-BEAE-A970536DB843}</b:Guid>
    <b:LCID>0</b:LCID>
    <b:Author>
      <b:Author>
        <b:Corporate>ACMA</b:Corporate>
      </b:Author>
    </b:Author>
    <b:Title>Spectrum Reallocation in the 700MHz digital dividend band</b:Title>
    <b:Year>2010</b:Year>
    <b:Publisher>Australian Communication and Media Authority</b:Publisher>
    <b:RefOrder>22</b:RefOrder>
  </b:Source>
  <b:Source>
    <b:Tag>Alb11</b:Tag>
    <b:SourceType>Report</b:SourceType>
    <b:Guid>{860CC47C-D14A-4701-AF78-DEE647BD7041}</b:Guid>
    <b:LCID>0</b:LCID>
    <b:Author>
      <b:Author>
        <b:NameList>
          <b:Person>
            <b:Last>Pamias</b:Last>
            <b:First>Alberto</b:First>
          </b:Person>
          <b:Person>
            <b:Last>Torras</b:Last>
            <b:First>Daniel</b:First>
          </b:Person>
        </b:NameList>
      </b:Author>
    </b:Author>
    <b:Title>The Digital Dividend in Europe: in the eye of “The Perfect Storm”</b:Title>
    <b:Year>2011</b:Year>
    <b:Publisher>The Delta Perspective</b:Publisher>
    <b:RefOrder>15</b:RefOrder>
  </b:Source>
  <b:Source>
    <b:Tag>ITU12</b:Tag>
    <b:SourceType>Report</b:SourceType>
    <b:Guid>{CEEF7062-610D-4EA7-B909-3B1B609BB903}</b:Guid>
    <b:LCID>0</b:LCID>
    <b:Author>
      <b:Author>
        <b:Corporate>ITU</b:Corporate>
      </b:Author>
    </b:Author>
    <b:Title>Digital Dividend: insights for spectrum decisions</b:Title>
    <b:Year>2012</b:Year>
    <b:Publisher>International Telecommunication Union</b:Publisher>
    <b:RefOrder>14</b:RefOrder>
  </b:Source>
  <b:Source>
    <b:Tag>HAK12</b:Tag>
    <b:SourceType>InternetSite</b:SourceType>
    <b:Guid>{BDE44CB8-F787-41CB-9AB6-3D7611E3666F}</b:Guid>
    <b:LCID>0</b:LCID>
    <b:InternetSiteTitle>HAKOM</b:InternetSiteTitle>
    <b:YearAccessed>2012</b:YearAccessed>
    <b:MonthAccessed>05</b:MonthAccessed>
    <b:DayAccessed>23</b:DayAccessed>
    <b:URL>http://www.hakom.hr/default.aspx?id=1121</b:URL>
    <b:Year>2012</b:Year>
    <b:Author>
      <b:Author>
        <b:Corporate>HAKOM</b:Corporate>
      </b:Author>
    </b:Author>
    <b:RefOrder>9</b:RefOrder>
  </b:Source>
  <b:Source>
    <b:Tag>Kla10</b:Tag>
    <b:SourceType>ConferenceProceedings</b:SourceType>
    <b:Guid>{6F47CD7C-BFD1-471A-AE08-57ADBE6666E4}</b:Guid>
    <b:LCID>0</b:LCID>
    <b:Author>
      <b:Author>
        <b:NameList>
          <b:Person>
            <b:Last>Marwinski</b:Last>
            <b:First>Klaus-Udo</b:First>
          </b:Person>
        </b:NameList>
      </b:Author>
    </b:Author>
    <b:Title>The Digital Dividend: C$ase Study Germany</b:Title>
    <b:Year>2010</b:Year>
    <b:City>Sharm El-Sheik</b:City>
    <b:ConferenceName>NTRA-Conference</b:ConferenceName>
    <b:RefOrder>17</b:RefOrder>
  </b:Source>
  <b:Source>
    <b:Tag>Elm11</b:Tag>
    <b:SourceType>ConferenceProceedings</b:SourceType>
    <b:Guid>{57258C2E-D504-4904-959B-FC020F56D76A}</b:Guid>
    <b:LCID>0</b:LCID>
    <b:Author>
      <b:Author>
        <b:NameList>
          <b:Person>
            <b:Last>Zilles</b:Last>
            <b:First>Elmar</b:First>
          </b:Person>
        </b:NameList>
      </b:Author>
    </b:Author>
    <b:Title>Digital dividend with a special regard to the situation in Germany</b:Title>
    <b:Year>2011</b:Year>
    <b:ConferenceName>Sub-Regional Workshop on Transition to Digital Broadcasting and Digital Dividend</b:ConferenceName>
    <b:City>Beograd</b:City>
    <b:RefOrder>16</b:RefOrder>
  </b:Source>
  <b:Source>
    <b:Tag>Dra11</b:Tag>
    <b:SourceType>Report</b:SourceType>
    <b:Guid>{F6A138C9-80B1-4A13-A406-5317716FF805}</b:Guid>
    <b:LCID>0</b:LCID>
    <b:Author>
      <b:Author>
        <b:Corporate>Dražen Lučić</b:Corporate>
      </b:Author>
    </b:Author>
    <b:Title>European digital agenda: a Croatian perspective</b:Title>
    <b:Year>2011</b:Year>
    <b:City>Brussels</b:City>
    <b:Publisher>HAKOM</b:Publisher>
    <b:RefOrder>10</b:RefOrder>
  </b:Source>
  <b:Source>
    <b:Tag>Rel11</b:Tag>
    <b:SourceType>Report</b:SourceType>
    <b:Guid>{3A227732-BEB0-48DF-8B02-26537FA1727B}</b:Guid>
    <b:LCID>0</b:LCID>
    <b:Author>
      <b:Author>
        <b:NameList>
          <b:Person>
            <b:Last>Reljin</b:Last>
            <b:First>Irini</b:First>
          </b:Person>
        </b:NameList>
      </b:Author>
    </b:Author>
    <b:Title>Future of Digital Dividend after the Switchover in the Republic of Serbia</b:Title>
    <b:Year>2011</b:Year>
    <b:City>Beograd</b:City>
    <b:RefOrder>12</b:RefOrder>
  </b:Source>
  <b:Source>
    <b:Tag>And00</b:Tag>
    <b:SourceType>DocumentFromInternetSite</b:SourceType>
    <b:Guid>{28196136-BEDE-4E5D-8BA0-E1FD51D68AA6}</b:Guid>
    <b:LCID>0</b:LCID>
    <b:Author>
      <b:Author>
        <b:NameList>
          <b:Person>
            <b:Last>Prat</b:Last>
            <b:First>Andrea</b:First>
          </b:Person>
          <b:Person>
            <b:Last>Valletti</b:Last>
            <b:First>Tommaso</b:First>
          </b:Person>
        </b:NameList>
      </b:Author>
    </b:Author>
    <b:Title>Spectrum auctions versus beauty contests: costs and benefits</b:Title>
    <b:Year>2000</b:Year>
    <b:InternetSiteTitle>Instituti</b:InternetSiteTitle>
    <b:Month>Novembar</b:Month>
    <b:YearAccessed>2012</b:YearAccessed>
    <b:MonthAccessed>oktobar</b:MonthAccessed>
    <b:DayAccessed>28</b:DayAccessed>
    <b:URL>http://istituti.unicatt.it/economia_impresa_lavoro_OECD-draft.pdf</b:URL>
    <b:RefOrder>19</b:RefOrder>
  </b:Source>
  <b:Source>
    <b:Tag>Mil10</b:Tag>
    <b:SourceType>ConferenceProceedings</b:SourceType>
    <b:Guid>{EE57D668-1584-4C18-9309-EC1FC93855DC}</b:Guid>
    <b:LCID>0</b:LCID>
    <b:Author>
      <b:Author>
        <b:NameList>
          <b:Person>
            <b:Last>Ostojić</b:Last>
            <b:First>Milenko</b:First>
          </b:Person>
        </b:NameList>
      </b:Author>
    </b:Author>
    <b:Title>Bežični širokopojasni pristup i elementi tržišne regulacije spektra</b:Title>
    <b:Year>2010</b:Year>
    <b:Pages>63-66</b:Pages>
    <b:ConferenceName>18. Telekomunikacioni forum TELFOR 2010</b:ConferenceName>
    <b:City>Beograd</b:City>
    <b:RefOrder>20</b:RefOrder>
  </b:Source>
</b:Sources>
</file>

<file path=customXml/itemProps1.xml><?xml version="1.0" encoding="utf-8"?>
<ds:datastoreItem xmlns:ds="http://schemas.openxmlformats.org/officeDocument/2006/customXml" ds:itemID="{D5D171ED-F0E7-46C9-AA36-153AEF37C57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ljiljan.veselinovic</dc:creator>
  <lastModifiedBy>Ljiljan Veselinović</lastModifiedBy>
  <revision>145</revision>
  <lastPrinted>2011-07-04T21:32:00.0000000Z</lastPrinted>
  <dcterms:created xsi:type="dcterms:W3CDTF">2011-05-16T16:51:00.0000000Z</dcterms:created>
  <dcterms:modified xsi:type="dcterms:W3CDTF">2014-05-06T15:50:44.1232782Z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ljiljan.veselinovic@efsa.unsa.ba@www.mendeley.com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Name 0_1">
    <vt:lpwstr>American Medical Association</vt:lpwstr>
  </property>
  <property fmtid="{D5CDD505-2E9C-101B-9397-08002B2CF9AE}" pid="6" name="Mendeley Recent Style Id 0_1">
    <vt:lpwstr>http://www.zotero.org/styles/ama</vt:lpwstr>
  </property>
  <property fmtid="{D5CDD505-2E9C-101B-9397-08002B2CF9AE}" pid="7" name="Mendeley Recent Style Name 1_1">
    <vt:lpwstr>American Political Science Association</vt:lpwstr>
  </property>
  <property fmtid="{D5CDD505-2E9C-101B-9397-08002B2CF9AE}" pid="8" name="Mendeley Recent Style Id 1_1">
    <vt:lpwstr>http://www.zotero.org/styles/apsa</vt:lpwstr>
  </property>
  <property fmtid="{D5CDD505-2E9C-101B-9397-08002B2CF9AE}" pid="9" name="Mendeley Recent Style Name 2_1">
    <vt:lpwstr>American Psychological Association 6th Edition</vt:lpwstr>
  </property>
  <property fmtid="{D5CDD505-2E9C-101B-9397-08002B2CF9AE}" pid="10" name="Mendeley Recent Style Id 2_1">
    <vt:lpwstr>http://www.zotero.org/styles/apa</vt:lpwstr>
  </property>
  <property fmtid="{D5CDD505-2E9C-101B-9397-08002B2CF9AE}" pid="11" name="Mendeley Recent Style Name 3_1">
    <vt:lpwstr>American Sociological Association</vt:lpwstr>
  </property>
  <property fmtid="{D5CDD505-2E9C-101B-9397-08002B2CF9AE}" pid="12" name="Mendeley Recent Style Id 3_1">
    <vt:lpwstr>http://www.zotero.org/styles/asa</vt:lpwstr>
  </property>
  <property fmtid="{D5CDD505-2E9C-101B-9397-08002B2CF9AE}" pid="13" name="Mendeley Recent Style Name 4_1">
    <vt:lpwstr>Chicago Manual of Style (Author-Date format)</vt:lpwstr>
  </property>
  <property fmtid="{D5CDD505-2E9C-101B-9397-08002B2CF9AE}" pid="14" name="Mendeley Recent Style Id 4_1">
    <vt:lpwstr>http://www.zotero.org/styles/chicago-author-date</vt:lpwstr>
  </property>
  <property fmtid="{D5CDD505-2E9C-101B-9397-08002B2CF9AE}" pid="15" name="Mendeley Recent Style Name 5_1">
    <vt:lpwstr>Harvard Reference format 1 (Author-Date)</vt:lpwstr>
  </property>
  <property fmtid="{D5CDD505-2E9C-101B-9397-08002B2CF9AE}" pid="16" name="Mendeley Recent Style Id 5_1">
    <vt:lpwstr>http://www.zotero.org/styles/harvard1</vt:lpwstr>
  </property>
  <property fmtid="{D5CDD505-2E9C-101B-9397-08002B2CF9AE}" pid="17" name="Mendeley Recent Style Name 6_1">
    <vt:lpwstr>IEEE</vt:lpwstr>
  </property>
  <property fmtid="{D5CDD505-2E9C-101B-9397-08002B2CF9AE}" pid="18" name="Mendeley Recent Style Id 6_1">
    <vt:lpwstr>http://www.zotero.org/styles/ieee</vt:lpwstr>
  </property>
  <property fmtid="{D5CDD505-2E9C-101B-9397-08002B2CF9AE}" pid="19" name="Mendeley Recent Style Name 7_1">
    <vt:lpwstr>Modern Humanities Research Association (Note with Bibliography)</vt:lpwstr>
  </property>
  <property fmtid="{D5CDD505-2E9C-101B-9397-08002B2CF9AE}" pid="20" name="Mendeley Recent Style Id 7_1">
    <vt:lpwstr>http://www.zotero.org/styles/mhra</vt:lpwstr>
  </property>
  <property fmtid="{D5CDD505-2E9C-101B-9397-08002B2CF9AE}" pid="21" name="Mendeley Recent Style Name 8_1">
    <vt:lpwstr>Modern Language Association</vt:lpwstr>
  </property>
  <property fmtid="{D5CDD505-2E9C-101B-9397-08002B2CF9AE}" pid="22" name="Mendeley Recent Style Id 8_1">
    <vt:lpwstr>http://www.zotero.org/styles/mla</vt:lpwstr>
  </property>
  <property fmtid="{D5CDD505-2E9C-101B-9397-08002B2CF9AE}" pid="23" name="Mendeley Recent Style Name 9_1">
    <vt:lpwstr>Nature Journal</vt:lpwstr>
  </property>
  <property fmtid="{D5CDD505-2E9C-101B-9397-08002B2CF9AE}" pid="24" name="Mendeley Recent Style Id 9_1">
    <vt:lpwstr>http://www.zotero.org/styles/nature</vt:lpwstr>
  </property>
</Properties>
</file>