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04" w:rsidRDefault="00FB5F75" w:rsidP="00011004">
      <w:pPr>
        <w:autoSpaceDE w:val="0"/>
        <w:autoSpaceDN w:val="0"/>
        <w:adjustRightInd w:val="0"/>
        <w:ind w:left="4956" w:right="55" w:firstLine="708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Milano, 5 marzo</w:t>
      </w:r>
      <w:r w:rsidR="00011004">
        <w:rPr>
          <w:rFonts w:asciiTheme="majorHAnsi" w:hAnsiTheme="majorHAnsi"/>
          <w:sz w:val="18"/>
          <w:szCs w:val="18"/>
        </w:rPr>
        <w:t xml:space="preserve"> 2013</w:t>
      </w:r>
    </w:p>
    <w:p w:rsidR="00011004" w:rsidRPr="005A5DC8" w:rsidRDefault="00011004" w:rsidP="00011004">
      <w:pPr>
        <w:autoSpaceDE w:val="0"/>
        <w:autoSpaceDN w:val="0"/>
        <w:adjustRightInd w:val="0"/>
        <w:ind w:right="55"/>
        <w:jc w:val="both"/>
        <w:rPr>
          <w:rFonts w:asciiTheme="majorHAnsi" w:hAnsiTheme="majorHAnsi"/>
          <w:sz w:val="18"/>
          <w:szCs w:val="18"/>
        </w:rPr>
      </w:pPr>
    </w:p>
    <w:p w:rsidR="00011004" w:rsidRDefault="00011004" w:rsidP="00011004">
      <w:pPr>
        <w:autoSpaceDE w:val="0"/>
        <w:autoSpaceDN w:val="0"/>
        <w:adjustRightInd w:val="0"/>
        <w:ind w:right="55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>Spettabi</w:t>
      </w:r>
      <w:r w:rsidRPr="00EA53BB">
        <w:rPr>
          <w:rFonts w:asciiTheme="majorHAnsi" w:hAnsiTheme="majorHAnsi"/>
          <w:sz w:val="18"/>
          <w:szCs w:val="18"/>
        </w:rPr>
        <w:t>le</w:t>
      </w:r>
    </w:p>
    <w:p w:rsidR="00011004" w:rsidRPr="00B25AD2" w:rsidRDefault="00011004" w:rsidP="00011004">
      <w:pPr>
        <w:autoSpaceDE w:val="0"/>
        <w:autoSpaceDN w:val="0"/>
        <w:adjustRightInd w:val="0"/>
        <w:ind w:right="55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>
        <w:rPr>
          <w:rFonts w:asciiTheme="majorHAnsi" w:hAnsiTheme="majorHAnsi"/>
          <w:sz w:val="18"/>
          <w:szCs w:val="18"/>
        </w:rPr>
        <w:tab/>
      </w:r>
      <w:r w:rsidR="00481881" w:rsidRPr="00481881">
        <w:rPr>
          <w:rFonts w:asciiTheme="majorHAnsi" w:hAnsiTheme="majorHAnsi"/>
          <w:sz w:val="18"/>
          <w:szCs w:val="18"/>
        </w:rPr>
        <w:t xml:space="preserve">TW - TEAMWARE </w:t>
      </w:r>
      <w:proofErr w:type="spellStart"/>
      <w:r w:rsidR="00481881" w:rsidRPr="00481881">
        <w:rPr>
          <w:rFonts w:asciiTheme="majorHAnsi" w:hAnsiTheme="majorHAnsi"/>
          <w:sz w:val="18"/>
          <w:szCs w:val="18"/>
        </w:rPr>
        <w:t>S.R.L.</w:t>
      </w:r>
      <w:proofErr w:type="spellEnd"/>
    </w:p>
    <w:p w:rsidR="00011004" w:rsidRPr="00EA53BB" w:rsidRDefault="00011004" w:rsidP="00011004">
      <w:pPr>
        <w:autoSpaceDE w:val="0"/>
        <w:autoSpaceDN w:val="0"/>
        <w:adjustRightInd w:val="0"/>
        <w:ind w:left="2124" w:right="55"/>
        <w:jc w:val="both"/>
        <w:rPr>
          <w:rFonts w:asciiTheme="majorHAnsi" w:hAnsiTheme="majorHAnsi"/>
          <w:sz w:val="18"/>
          <w:szCs w:val="18"/>
        </w:rPr>
      </w:pPr>
      <w:r w:rsidRPr="00EA53BB">
        <w:rPr>
          <w:rFonts w:asciiTheme="majorHAnsi" w:hAnsiTheme="majorHAnsi"/>
          <w:sz w:val="18"/>
          <w:szCs w:val="18"/>
        </w:rPr>
        <w:tab/>
      </w:r>
      <w:r w:rsidRPr="00EA53BB">
        <w:rPr>
          <w:rFonts w:asciiTheme="majorHAnsi" w:hAnsiTheme="majorHAnsi"/>
          <w:sz w:val="18"/>
          <w:szCs w:val="18"/>
        </w:rPr>
        <w:tab/>
      </w:r>
      <w:r w:rsidRPr="00EA53BB">
        <w:rPr>
          <w:rFonts w:asciiTheme="majorHAnsi" w:hAnsiTheme="majorHAnsi"/>
          <w:sz w:val="18"/>
          <w:szCs w:val="18"/>
        </w:rPr>
        <w:tab/>
      </w:r>
      <w:r w:rsidRPr="00EA53BB">
        <w:rPr>
          <w:rFonts w:asciiTheme="majorHAnsi" w:hAnsiTheme="majorHAnsi"/>
          <w:sz w:val="18"/>
          <w:szCs w:val="18"/>
        </w:rPr>
        <w:tab/>
      </w:r>
      <w:r w:rsidRPr="00EA53BB">
        <w:rPr>
          <w:rFonts w:asciiTheme="majorHAnsi" w:hAnsiTheme="majorHAnsi"/>
          <w:sz w:val="18"/>
          <w:szCs w:val="18"/>
        </w:rPr>
        <w:tab/>
      </w:r>
    </w:p>
    <w:p w:rsidR="00011004" w:rsidRPr="00CB528C" w:rsidRDefault="00FB5F75" w:rsidP="00011004">
      <w:pPr>
        <w:autoSpaceDE w:val="0"/>
        <w:autoSpaceDN w:val="0"/>
        <w:adjustRightInd w:val="0"/>
        <w:ind w:left="4956" w:right="55" w:firstLine="708"/>
        <w:jc w:val="both"/>
        <w:rPr>
          <w:rFonts w:asciiTheme="majorHAnsi" w:hAnsiTheme="majorHAnsi"/>
          <w:sz w:val="18"/>
          <w:szCs w:val="18"/>
          <w:u w:val="single"/>
        </w:rPr>
      </w:pPr>
      <w:r>
        <w:rPr>
          <w:rFonts w:asciiTheme="majorHAnsi" w:hAnsiTheme="majorHAnsi"/>
          <w:sz w:val="18"/>
          <w:szCs w:val="18"/>
          <w:u w:val="single"/>
        </w:rPr>
        <w:t>VIA MAIL</w:t>
      </w:r>
    </w:p>
    <w:p w:rsidR="005A77E7" w:rsidRPr="005A77E7" w:rsidRDefault="005A77E7" w:rsidP="005A77E7">
      <w:pPr>
        <w:autoSpaceDE w:val="0"/>
        <w:autoSpaceDN w:val="0"/>
        <w:adjustRightInd w:val="0"/>
        <w:ind w:right="55"/>
        <w:jc w:val="both"/>
        <w:rPr>
          <w:rFonts w:asciiTheme="majorHAnsi" w:hAnsiTheme="majorHAnsi"/>
          <w:sz w:val="18"/>
          <w:szCs w:val="18"/>
        </w:rPr>
      </w:pPr>
    </w:p>
    <w:p w:rsidR="00C726DA" w:rsidRPr="00C726DA" w:rsidRDefault="00C726DA" w:rsidP="00C726DA">
      <w:pPr>
        <w:autoSpaceDE w:val="0"/>
        <w:autoSpaceDN w:val="0"/>
        <w:adjustRightInd w:val="0"/>
        <w:ind w:right="55"/>
        <w:rPr>
          <w:rFonts w:asciiTheme="majorHAnsi" w:hAnsiTheme="majorHAnsi"/>
          <w:sz w:val="18"/>
          <w:szCs w:val="18"/>
        </w:rPr>
      </w:pPr>
      <w:r w:rsidRPr="00C726DA">
        <w:rPr>
          <w:rFonts w:asciiTheme="majorHAnsi" w:hAnsiTheme="majorHAnsi"/>
          <w:sz w:val="18"/>
          <w:szCs w:val="18"/>
        </w:rPr>
        <w:t>Egr. NAVA FRANCO</w:t>
      </w:r>
    </w:p>
    <w:p w:rsidR="00C726DA" w:rsidRPr="00C726DA" w:rsidRDefault="00C726DA" w:rsidP="00C726DA">
      <w:pPr>
        <w:autoSpaceDE w:val="0"/>
        <w:autoSpaceDN w:val="0"/>
        <w:adjustRightInd w:val="0"/>
        <w:ind w:right="55"/>
        <w:rPr>
          <w:rFonts w:asciiTheme="majorHAnsi" w:hAnsiTheme="majorHAnsi"/>
          <w:sz w:val="18"/>
          <w:szCs w:val="18"/>
        </w:rPr>
      </w:pPr>
      <w:r w:rsidRPr="00C726DA">
        <w:rPr>
          <w:rFonts w:asciiTheme="majorHAnsi" w:hAnsiTheme="majorHAnsi"/>
          <w:sz w:val="18"/>
          <w:szCs w:val="18"/>
        </w:rPr>
        <w:t xml:space="preserve">dall'esame della documentazione da voi presentata per quanto concerne la domanda di erogazione di anticipo sul contributo concesso, nell’ambito </w:t>
      </w:r>
      <w:r w:rsidRPr="00C726DA">
        <w:rPr>
          <w:rFonts w:asciiTheme="majorHAnsi" w:hAnsiTheme="majorHAnsi"/>
          <w:b/>
          <w:sz w:val="18"/>
          <w:szCs w:val="18"/>
        </w:rPr>
        <w:t>dell’Azione 1 “Bando per la creazione di aggregazioni di imprese</w:t>
      </w:r>
      <w:r w:rsidRPr="00C726DA">
        <w:rPr>
          <w:rFonts w:asciiTheme="majorHAnsi" w:hAnsiTheme="majorHAnsi"/>
          <w:sz w:val="18"/>
          <w:szCs w:val="18"/>
        </w:rPr>
        <w:t xml:space="preserve">” </w:t>
      </w:r>
      <w:r w:rsidRPr="00C726DA">
        <w:rPr>
          <w:rFonts w:asciiTheme="majorHAnsi" w:hAnsiTheme="majorHAnsi"/>
          <w:b/>
          <w:sz w:val="18"/>
          <w:szCs w:val="18"/>
        </w:rPr>
        <w:t>del Programma regionale Ergon</w:t>
      </w:r>
      <w:r w:rsidRPr="00C726DA">
        <w:rPr>
          <w:rFonts w:asciiTheme="majorHAnsi" w:hAnsiTheme="majorHAnsi"/>
          <w:sz w:val="18"/>
          <w:szCs w:val="18"/>
        </w:rPr>
        <w:t xml:space="preserve"> con </w:t>
      </w:r>
      <w:r w:rsidRPr="00C726DA">
        <w:rPr>
          <w:rFonts w:asciiTheme="majorHAnsi" w:hAnsiTheme="majorHAnsi"/>
          <w:b/>
          <w:bCs/>
          <w:sz w:val="18"/>
          <w:szCs w:val="18"/>
        </w:rPr>
        <w:t>ID</w:t>
      </w:r>
      <w:r w:rsidRPr="00C726DA">
        <w:rPr>
          <w:rFonts w:asciiTheme="majorHAnsi" w:hAnsiTheme="majorHAnsi"/>
          <w:sz w:val="18"/>
          <w:szCs w:val="18"/>
        </w:rPr>
        <w:t xml:space="preserve"> </w:t>
      </w:r>
      <w:r w:rsidRPr="00C726DA">
        <w:rPr>
          <w:rFonts w:asciiTheme="majorHAnsi" w:hAnsiTheme="majorHAnsi"/>
          <w:b/>
          <w:sz w:val="18"/>
          <w:szCs w:val="18"/>
        </w:rPr>
        <w:t>30543363</w:t>
      </w:r>
      <w:r w:rsidRPr="00C726DA">
        <w:rPr>
          <w:rFonts w:asciiTheme="majorHAnsi" w:hAnsiTheme="majorHAnsi"/>
          <w:sz w:val="18"/>
          <w:szCs w:val="18"/>
        </w:rPr>
        <w:t>, è emersa l'esigenza di acquisire le seguenti  integrazioni ritenute</w:t>
      </w:r>
      <w:bookmarkStart w:id="0" w:name="_GoBack"/>
      <w:bookmarkEnd w:id="0"/>
      <w:r w:rsidRPr="00C726DA">
        <w:rPr>
          <w:rFonts w:asciiTheme="majorHAnsi" w:hAnsiTheme="majorHAnsi"/>
          <w:sz w:val="18"/>
          <w:szCs w:val="18"/>
        </w:rPr>
        <w:t xml:space="preserve"> utili ai fini dell’esame della domanda: </w:t>
      </w:r>
    </w:p>
    <w:p w:rsidR="00C726DA" w:rsidRPr="00157457" w:rsidRDefault="00C726DA" w:rsidP="00C726DA">
      <w:pPr>
        <w:autoSpaceDE w:val="0"/>
        <w:autoSpaceDN w:val="0"/>
        <w:adjustRightInd w:val="0"/>
        <w:rPr>
          <w:sz w:val="16"/>
          <w:szCs w:val="16"/>
        </w:rPr>
      </w:pPr>
    </w:p>
    <w:p w:rsidR="00C726DA" w:rsidRPr="00C726DA" w:rsidRDefault="00C726DA" w:rsidP="00C726DA">
      <w:pPr>
        <w:autoSpaceDE w:val="0"/>
        <w:autoSpaceDN w:val="0"/>
        <w:adjustRightInd w:val="0"/>
        <w:rPr>
          <w:rFonts w:asciiTheme="majorHAnsi" w:hAnsiTheme="majorHAnsi"/>
          <w:sz w:val="18"/>
          <w:szCs w:val="18"/>
        </w:rPr>
      </w:pPr>
      <w:r w:rsidRPr="00C726DA">
        <w:rPr>
          <w:rFonts w:asciiTheme="majorHAnsi" w:hAnsiTheme="majorHAnsi"/>
          <w:sz w:val="18"/>
          <w:szCs w:val="18"/>
        </w:rPr>
        <w:t xml:space="preserve">NEW-GO </w:t>
      </w:r>
      <w:proofErr w:type="spellStart"/>
      <w:r w:rsidRPr="00C726DA">
        <w:rPr>
          <w:rFonts w:asciiTheme="majorHAnsi" w:hAnsiTheme="majorHAnsi"/>
          <w:sz w:val="18"/>
          <w:szCs w:val="18"/>
        </w:rPr>
        <w:t>S.R.L.</w:t>
      </w:r>
      <w:proofErr w:type="spellEnd"/>
    </w:p>
    <w:tbl>
      <w:tblPr>
        <w:tblW w:w="102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7797"/>
      </w:tblGrid>
      <w:tr w:rsidR="00C726DA" w:rsidRPr="00C726DA" w:rsidTr="00C726D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Non conformità della Garanzia Fideiussoria</w:t>
            </w:r>
          </w:p>
        </w:tc>
        <w:tc>
          <w:tcPr>
            <w:tcW w:w="77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 xml:space="preserve">Dai controlli effettuati si evince la necessità di aggiungere un’appendice di variazione con indicato il seguente testo: </w:t>
            </w:r>
            <w:r w:rsidR="00EA7783">
              <w:rPr>
                <w:rFonts w:asciiTheme="majorHAnsi" w:hAnsiTheme="majorHAnsi"/>
                <w:sz w:val="18"/>
                <w:szCs w:val="18"/>
              </w:rPr>
              <w:t>“</w:t>
            </w:r>
          </w:p>
          <w:p w:rsidR="00C726DA" w:rsidRPr="00C726DA" w:rsidRDefault="00C726DA" w:rsidP="00C726D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Il presente testo di fideiussione si compone di un testo contenente la proposta, le condizioni generali di garanzia e di un Allegato/Appendice all’atto numero ADGFC1370 contenente la disciplina speciale della garanzia prestata che rappresenta parte integrante e sostanziale del testo di fideiussione;</w:t>
            </w:r>
          </w:p>
          <w:p w:rsidR="00C726DA" w:rsidRPr="00C726DA" w:rsidRDefault="00C726DA" w:rsidP="00C726D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Per quanto non disciplinato nel testo contenente la proposta, le condizioni generali di garanzia troverà applicazione quanto previsto nell’Allegato/Appendice all’atto numero ADGFC1370;</w:t>
            </w:r>
          </w:p>
          <w:p w:rsidR="00C726DA" w:rsidRPr="00C726DA" w:rsidRDefault="00C726DA" w:rsidP="00C726D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Nell’ipotesi di  contrasto, anche in via interpretativa, tra le previsioni contenute nella proposta, nella condizioni generali di garanzia, l’entità degli importi garantiti, la durata della garanzia prestata e quanto previsto nell’allegato/Appendice all’atto numero ADGFC1370, prevarrà quanto previsto nell’Allegato/Appendice all’atto numero ADGFC1370.”</w:t>
            </w:r>
          </w:p>
          <w:p w:rsidR="00C726DA" w:rsidRPr="00C726DA" w:rsidRDefault="00C726DA" w:rsidP="00C726D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 xml:space="preserve">Inoltre si ricorda che il beneficiario della fideiussione è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Finlombarda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S.p.A. e non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Cestec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S.p.A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>..</w:t>
            </w:r>
          </w:p>
        </w:tc>
      </w:tr>
    </w:tbl>
    <w:p w:rsidR="00C726DA" w:rsidRDefault="00C726DA" w:rsidP="00C726DA">
      <w:pPr>
        <w:rPr>
          <w:sz w:val="16"/>
          <w:szCs w:val="16"/>
        </w:rPr>
      </w:pPr>
    </w:p>
    <w:p w:rsidR="00C726DA" w:rsidRPr="00C726DA" w:rsidRDefault="00C726DA" w:rsidP="00C726DA">
      <w:pPr>
        <w:rPr>
          <w:rFonts w:asciiTheme="majorHAnsi" w:hAnsiTheme="majorHAnsi"/>
          <w:sz w:val="18"/>
          <w:szCs w:val="18"/>
        </w:rPr>
      </w:pPr>
      <w:r w:rsidRPr="00C726DA">
        <w:rPr>
          <w:rFonts w:asciiTheme="majorHAnsi" w:hAnsiTheme="majorHAnsi"/>
          <w:sz w:val="18"/>
          <w:szCs w:val="18"/>
        </w:rPr>
        <w:t xml:space="preserve">TECNINT HTE </w:t>
      </w:r>
      <w:proofErr w:type="spellStart"/>
      <w:r w:rsidRPr="00C726DA">
        <w:rPr>
          <w:rFonts w:asciiTheme="majorHAnsi" w:hAnsiTheme="majorHAnsi"/>
          <w:sz w:val="18"/>
          <w:szCs w:val="18"/>
        </w:rPr>
        <w:t>S.R.L.</w:t>
      </w:r>
      <w:proofErr w:type="spellEnd"/>
    </w:p>
    <w:tbl>
      <w:tblPr>
        <w:tblW w:w="102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7797"/>
      </w:tblGrid>
      <w:tr w:rsidR="00C726DA" w:rsidRPr="00C726DA" w:rsidTr="00C726DA">
        <w:trPr>
          <w:trHeight w:val="955"/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Non conformità della Garanzia Fideiussoria</w:t>
            </w:r>
          </w:p>
        </w:tc>
        <w:tc>
          <w:tcPr>
            <w:tcW w:w="77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Dai controlli effettuati si evince la non conformità del testo rispetto a quanto disposto nel format fornito. In particolare si riscontra la mancanza della frase seguente: “ Si approvano espressamente, ai sensi e per gli effetti di cui all’art. 1341 del Codice Civile, le seguenti clausole della presente garanzia fideiussoria: art. 2, art. 3, art. 5, art. 6, art. 8, art. 9.”</w:t>
            </w:r>
          </w:p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</w:p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 xml:space="preserve">Inoltre si ricorda che il beneficiario della fideiussione è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Finlombarda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S.p.A. e non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Cestec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S.p.A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>..</w:t>
            </w:r>
          </w:p>
        </w:tc>
      </w:tr>
    </w:tbl>
    <w:p w:rsidR="00C726DA" w:rsidRDefault="00C726DA" w:rsidP="00C726DA">
      <w:pPr>
        <w:autoSpaceDE w:val="0"/>
        <w:autoSpaceDN w:val="0"/>
        <w:adjustRightInd w:val="0"/>
        <w:ind w:right="55"/>
        <w:rPr>
          <w:sz w:val="16"/>
          <w:szCs w:val="16"/>
        </w:rPr>
      </w:pPr>
    </w:p>
    <w:p w:rsidR="00C726DA" w:rsidRPr="00C726DA" w:rsidRDefault="00C726DA" w:rsidP="00C726DA">
      <w:pPr>
        <w:autoSpaceDE w:val="0"/>
        <w:autoSpaceDN w:val="0"/>
        <w:adjustRightInd w:val="0"/>
        <w:ind w:right="55"/>
        <w:rPr>
          <w:rFonts w:asciiTheme="majorHAnsi" w:hAnsiTheme="majorHAnsi"/>
          <w:sz w:val="18"/>
          <w:szCs w:val="18"/>
        </w:rPr>
      </w:pPr>
      <w:r w:rsidRPr="00C726DA">
        <w:rPr>
          <w:rFonts w:asciiTheme="majorHAnsi" w:hAnsiTheme="majorHAnsi"/>
          <w:sz w:val="18"/>
          <w:szCs w:val="18"/>
        </w:rPr>
        <w:t>P.C. PROJECT SRL</w:t>
      </w:r>
    </w:p>
    <w:tbl>
      <w:tblPr>
        <w:tblW w:w="102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7797"/>
      </w:tblGrid>
      <w:tr w:rsidR="00C726DA" w:rsidRPr="00C726DA" w:rsidTr="00C726D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rPr>
                <w:rFonts w:asciiTheme="majorHAnsi" w:hAnsiTheme="majorHAnsi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>Non conformità della Garanzia Fideiussoria</w:t>
            </w:r>
          </w:p>
        </w:tc>
        <w:tc>
          <w:tcPr>
            <w:tcW w:w="77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26DA" w:rsidRPr="00C726DA" w:rsidRDefault="00C726DA" w:rsidP="00C726DA">
            <w:pPr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  <w:r w:rsidRPr="00C726DA">
              <w:rPr>
                <w:rFonts w:asciiTheme="majorHAnsi" w:hAnsiTheme="majorHAnsi"/>
                <w:sz w:val="18"/>
                <w:szCs w:val="18"/>
              </w:rPr>
              <w:t xml:space="preserve">Dai controlli effettuati si evince che il soggetto beneficiario del titolo fideiussorio risulta essere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Cestec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S.p.A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.. Pertanto si prega di integrare la garanzia con una appendice di variazione indicando come soggetto beneficiario 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Finlombarda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C726DA">
              <w:rPr>
                <w:rFonts w:asciiTheme="majorHAnsi" w:hAnsiTheme="majorHAnsi"/>
                <w:sz w:val="18"/>
                <w:szCs w:val="18"/>
              </w:rPr>
              <w:t>S.p.A</w:t>
            </w:r>
            <w:proofErr w:type="spellEnd"/>
            <w:r w:rsidRPr="00C726DA">
              <w:rPr>
                <w:rFonts w:asciiTheme="majorHAnsi" w:hAnsiTheme="majorHAnsi"/>
                <w:sz w:val="18"/>
                <w:szCs w:val="18"/>
              </w:rPr>
              <w:t>..</w:t>
            </w:r>
          </w:p>
        </w:tc>
      </w:tr>
    </w:tbl>
    <w:p w:rsidR="00882DD3" w:rsidRPr="005A77E7" w:rsidRDefault="00882DD3" w:rsidP="005A77E7">
      <w:pPr>
        <w:jc w:val="both"/>
        <w:rPr>
          <w:rFonts w:asciiTheme="majorHAnsi" w:hAnsiTheme="majorHAnsi"/>
          <w:sz w:val="18"/>
          <w:szCs w:val="18"/>
        </w:rPr>
      </w:pPr>
    </w:p>
    <w:p w:rsidR="00FB5F75" w:rsidRPr="005A77E7" w:rsidRDefault="00FB5F75" w:rsidP="00FB5F75">
      <w:pPr>
        <w:jc w:val="both"/>
        <w:rPr>
          <w:rFonts w:asciiTheme="majorHAnsi" w:hAnsiTheme="majorHAnsi"/>
          <w:b/>
          <w:sz w:val="18"/>
          <w:szCs w:val="18"/>
        </w:rPr>
      </w:pPr>
      <w:r w:rsidRPr="005A77E7">
        <w:rPr>
          <w:rFonts w:asciiTheme="majorHAnsi" w:hAnsiTheme="majorHAnsi"/>
          <w:b/>
          <w:sz w:val="18"/>
          <w:szCs w:val="18"/>
        </w:rPr>
        <w:t xml:space="preserve">Si segnala che </w:t>
      </w:r>
      <w:r w:rsidR="00AE76A2">
        <w:rPr>
          <w:rFonts w:asciiTheme="majorHAnsi" w:hAnsiTheme="majorHAnsi"/>
          <w:b/>
          <w:sz w:val="18"/>
          <w:szCs w:val="18"/>
        </w:rPr>
        <w:t>le appendici di variazioni</w:t>
      </w:r>
      <w:r w:rsidRPr="005A77E7">
        <w:rPr>
          <w:rFonts w:asciiTheme="majorHAnsi" w:hAnsiTheme="majorHAnsi"/>
          <w:b/>
          <w:sz w:val="18"/>
          <w:szCs w:val="18"/>
        </w:rPr>
        <w:t xml:space="preserve"> in originale dev</w:t>
      </w:r>
      <w:r w:rsidR="00AE76A2">
        <w:rPr>
          <w:rFonts w:asciiTheme="majorHAnsi" w:hAnsiTheme="majorHAnsi"/>
          <w:b/>
          <w:sz w:val="18"/>
          <w:szCs w:val="18"/>
        </w:rPr>
        <w:t>ono essere trasmesse</w:t>
      </w:r>
      <w:r w:rsidRPr="005A77E7">
        <w:rPr>
          <w:rFonts w:asciiTheme="majorHAnsi" w:hAnsiTheme="majorHAnsi"/>
          <w:b/>
          <w:sz w:val="18"/>
          <w:szCs w:val="18"/>
        </w:rPr>
        <w:t xml:space="preserve"> </w:t>
      </w:r>
      <w:r w:rsidR="00C726DA">
        <w:rPr>
          <w:rFonts w:asciiTheme="majorHAnsi" w:hAnsiTheme="majorHAnsi"/>
          <w:b/>
          <w:sz w:val="18"/>
          <w:szCs w:val="18"/>
        </w:rPr>
        <w:t xml:space="preserve"> firmat</w:t>
      </w:r>
      <w:r w:rsidR="00AE76A2">
        <w:rPr>
          <w:rFonts w:asciiTheme="majorHAnsi" w:hAnsiTheme="majorHAnsi"/>
          <w:b/>
          <w:sz w:val="18"/>
          <w:szCs w:val="18"/>
        </w:rPr>
        <w:t>e</w:t>
      </w:r>
      <w:r w:rsidR="00C726DA">
        <w:rPr>
          <w:rFonts w:asciiTheme="majorHAnsi" w:hAnsiTheme="majorHAnsi"/>
          <w:b/>
          <w:sz w:val="18"/>
          <w:szCs w:val="18"/>
        </w:rPr>
        <w:t xml:space="preserve"> in originale dal garante e dal contraente </w:t>
      </w:r>
      <w:r w:rsidRPr="005A77E7">
        <w:rPr>
          <w:rFonts w:asciiTheme="majorHAnsi" w:hAnsiTheme="majorHAnsi"/>
          <w:b/>
          <w:sz w:val="18"/>
          <w:szCs w:val="18"/>
        </w:rPr>
        <w:t>presso i nostri uffici</w:t>
      </w:r>
      <w:r w:rsidR="00C726DA">
        <w:rPr>
          <w:rFonts w:asciiTheme="majorHAnsi" w:hAnsiTheme="majorHAnsi"/>
          <w:b/>
          <w:sz w:val="18"/>
          <w:szCs w:val="18"/>
        </w:rPr>
        <w:t xml:space="preserve"> </w:t>
      </w:r>
      <w:r w:rsidRPr="005A77E7">
        <w:rPr>
          <w:rFonts w:asciiTheme="majorHAnsi" w:hAnsiTheme="majorHAnsi"/>
          <w:b/>
          <w:sz w:val="18"/>
          <w:szCs w:val="18"/>
        </w:rPr>
        <w:t xml:space="preserve"> al seguente indirizzo: </w:t>
      </w:r>
    </w:p>
    <w:p w:rsidR="00FB5F75" w:rsidRPr="005A77E7" w:rsidRDefault="00FB5F75" w:rsidP="00FB5F75">
      <w:pPr>
        <w:jc w:val="both"/>
        <w:rPr>
          <w:rFonts w:asciiTheme="majorHAnsi" w:hAnsiTheme="majorHAnsi"/>
          <w:b/>
          <w:sz w:val="18"/>
          <w:szCs w:val="18"/>
        </w:rPr>
      </w:pPr>
      <w:proofErr w:type="spellStart"/>
      <w:r w:rsidRPr="005A77E7">
        <w:rPr>
          <w:rFonts w:asciiTheme="majorHAnsi" w:hAnsiTheme="majorHAnsi"/>
          <w:b/>
          <w:sz w:val="18"/>
          <w:szCs w:val="18"/>
        </w:rPr>
        <w:t>Finlombarda</w:t>
      </w:r>
      <w:proofErr w:type="spellEnd"/>
      <w:r w:rsidRPr="005A77E7">
        <w:rPr>
          <w:rFonts w:asciiTheme="majorHAnsi" w:hAnsiTheme="majorHAnsi"/>
          <w:b/>
          <w:sz w:val="18"/>
          <w:szCs w:val="18"/>
        </w:rPr>
        <w:t xml:space="preserve"> S.p.A. Via </w:t>
      </w:r>
      <w:proofErr w:type="spellStart"/>
      <w:r w:rsidRPr="005A77E7">
        <w:rPr>
          <w:rFonts w:asciiTheme="majorHAnsi" w:hAnsiTheme="majorHAnsi"/>
          <w:b/>
          <w:sz w:val="18"/>
          <w:szCs w:val="18"/>
        </w:rPr>
        <w:t>Taramelli</w:t>
      </w:r>
      <w:proofErr w:type="spellEnd"/>
      <w:r w:rsidRPr="005A77E7">
        <w:rPr>
          <w:rFonts w:asciiTheme="majorHAnsi" w:hAnsiTheme="majorHAnsi"/>
          <w:b/>
          <w:sz w:val="18"/>
          <w:szCs w:val="18"/>
        </w:rPr>
        <w:t xml:space="preserve">, 12 20124 </w:t>
      </w:r>
      <w:r w:rsidR="001E7D74">
        <w:rPr>
          <w:rFonts w:asciiTheme="majorHAnsi" w:hAnsiTheme="majorHAnsi"/>
          <w:b/>
          <w:sz w:val="18"/>
          <w:szCs w:val="18"/>
        </w:rPr>
        <w:t>–</w:t>
      </w:r>
      <w:r w:rsidRPr="005A77E7">
        <w:rPr>
          <w:rFonts w:asciiTheme="majorHAnsi" w:hAnsiTheme="majorHAnsi"/>
          <w:b/>
          <w:sz w:val="18"/>
          <w:szCs w:val="18"/>
        </w:rPr>
        <w:t xml:space="preserve"> Milano</w:t>
      </w:r>
      <w:r w:rsidR="001E7D74">
        <w:rPr>
          <w:rFonts w:asciiTheme="majorHAnsi" w:hAnsiTheme="majorHAnsi"/>
          <w:b/>
          <w:sz w:val="18"/>
          <w:szCs w:val="18"/>
        </w:rPr>
        <w:t>.</w:t>
      </w:r>
    </w:p>
    <w:p w:rsidR="005A77E7" w:rsidRDefault="005A77E7" w:rsidP="005A77E7">
      <w:pPr>
        <w:jc w:val="both"/>
        <w:rPr>
          <w:rFonts w:asciiTheme="majorHAnsi" w:hAnsiTheme="majorHAnsi"/>
          <w:sz w:val="18"/>
          <w:szCs w:val="18"/>
        </w:rPr>
      </w:pPr>
    </w:p>
    <w:p w:rsidR="005A77E7" w:rsidRDefault="005A77E7" w:rsidP="005A77E7">
      <w:pPr>
        <w:jc w:val="both"/>
        <w:rPr>
          <w:rFonts w:asciiTheme="majorHAnsi" w:hAnsiTheme="majorHAnsi"/>
          <w:b/>
          <w:sz w:val="18"/>
          <w:szCs w:val="18"/>
        </w:rPr>
      </w:pPr>
      <w:r w:rsidRPr="005A77E7">
        <w:rPr>
          <w:rFonts w:asciiTheme="majorHAnsi" w:hAnsiTheme="majorHAnsi"/>
          <w:b/>
          <w:sz w:val="18"/>
          <w:szCs w:val="18"/>
        </w:rPr>
        <w:t xml:space="preserve">Si comunica che </w:t>
      </w:r>
      <w:r w:rsidR="009318C1">
        <w:rPr>
          <w:rFonts w:asciiTheme="majorHAnsi" w:hAnsiTheme="majorHAnsi"/>
          <w:b/>
          <w:sz w:val="18"/>
          <w:szCs w:val="18"/>
        </w:rPr>
        <w:t>nel</w:t>
      </w:r>
      <w:r w:rsidRPr="005A77E7">
        <w:rPr>
          <w:rFonts w:asciiTheme="majorHAnsi" w:hAnsiTheme="majorHAnsi"/>
          <w:b/>
          <w:sz w:val="18"/>
          <w:szCs w:val="18"/>
        </w:rPr>
        <w:t xml:space="preserve"> modulo di antiriciclaggio </w:t>
      </w:r>
      <w:r w:rsidR="009318C1">
        <w:rPr>
          <w:rFonts w:asciiTheme="majorHAnsi" w:hAnsiTheme="majorHAnsi"/>
          <w:b/>
          <w:sz w:val="18"/>
          <w:szCs w:val="18"/>
        </w:rPr>
        <w:t xml:space="preserve">caricato a sistema da ciascun soggetto beneficiario, </w:t>
      </w:r>
      <w:r w:rsidR="00C726DA">
        <w:rPr>
          <w:rFonts w:asciiTheme="majorHAnsi" w:hAnsiTheme="majorHAnsi"/>
          <w:b/>
          <w:sz w:val="18"/>
          <w:szCs w:val="18"/>
        </w:rPr>
        <w:t xml:space="preserve">vanno indicati i codici </w:t>
      </w:r>
      <w:proofErr w:type="spellStart"/>
      <w:r w:rsidR="001E7D74">
        <w:rPr>
          <w:rFonts w:asciiTheme="majorHAnsi" w:hAnsiTheme="majorHAnsi"/>
          <w:b/>
          <w:sz w:val="18"/>
          <w:szCs w:val="18"/>
        </w:rPr>
        <w:t>A</w:t>
      </w:r>
      <w:r w:rsidR="00C726DA">
        <w:rPr>
          <w:rFonts w:asciiTheme="majorHAnsi" w:hAnsiTheme="majorHAnsi"/>
          <w:b/>
          <w:sz w:val="18"/>
          <w:szCs w:val="18"/>
        </w:rPr>
        <w:t>teco</w:t>
      </w:r>
      <w:proofErr w:type="spellEnd"/>
      <w:r w:rsidR="00C726DA">
        <w:rPr>
          <w:rFonts w:asciiTheme="majorHAnsi" w:hAnsiTheme="majorHAnsi"/>
          <w:b/>
          <w:sz w:val="18"/>
          <w:szCs w:val="18"/>
        </w:rPr>
        <w:t xml:space="preserve"> 2007, SAE e RAE e allegati </w:t>
      </w:r>
      <w:r w:rsidR="00AE76A2">
        <w:rPr>
          <w:rFonts w:asciiTheme="majorHAnsi" w:hAnsiTheme="majorHAnsi"/>
          <w:b/>
          <w:sz w:val="18"/>
          <w:szCs w:val="18"/>
        </w:rPr>
        <w:t>documenti d’identità in corso di validità e i</w:t>
      </w:r>
      <w:r w:rsidR="00C726DA">
        <w:rPr>
          <w:rFonts w:asciiTheme="majorHAnsi" w:hAnsiTheme="majorHAnsi"/>
          <w:b/>
          <w:sz w:val="18"/>
          <w:szCs w:val="18"/>
        </w:rPr>
        <w:t xml:space="preserve"> codici fiscali dei titolari delle imprese.</w:t>
      </w:r>
      <w:r w:rsidR="009318C1">
        <w:rPr>
          <w:rFonts w:asciiTheme="majorHAnsi" w:hAnsiTheme="majorHAnsi"/>
          <w:b/>
          <w:sz w:val="18"/>
          <w:szCs w:val="18"/>
        </w:rPr>
        <w:t xml:space="preserve"> Pertanto si rich</w:t>
      </w:r>
      <w:r w:rsidR="00AE76A2">
        <w:rPr>
          <w:rFonts w:asciiTheme="majorHAnsi" w:hAnsiTheme="majorHAnsi"/>
          <w:b/>
          <w:sz w:val="18"/>
          <w:szCs w:val="18"/>
        </w:rPr>
        <w:t xml:space="preserve">iede di compilare detti moduli </w:t>
      </w:r>
      <w:r w:rsidR="009318C1">
        <w:rPr>
          <w:rFonts w:asciiTheme="majorHAnsi" w:hAnsiTheme="majorHAnsi"/>
          <w:b/>
          <w:sz w:val="18"/>
          <w:szCs w:val="18"/>
        </w:rPr>
        <w:t>e caricarli</w:t>
      </w:r>
      <w:r w:rsidRPr="005A77E7">
        <w:rPr>
          <w:rFonts w:asciiTheme="majorHAnsi" w:hAnsiTheme="majorHAnsi"/>
          <w:b/>
          <w:sz w:val="18"/>
          <w:szCs w:val="18"/>
        </w:rPr>
        <w:t xml:space="preserve"> nel Sistema Informativo GEFO</w:t>
      </w:r>
      <w:r w:rsidRPr="005A77E7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5A77E7">
        <w:rPr>
          <w:rFonts w:asciiTheme="majorHAnsi" w:hAnsiTheme="majorHAnsi"/>
          <w:b/>
          <w:sz w:val="18"/>
          <w:szCs w:val="18"/>
        </w:rPr>
        <w:t xml:space="preserve">Finanziamenti On-Line </w:t>
      </w:r>
      <w:r w:rsidR="009318C1">
        <w:rPr>
          <w:rFonts w:asciiTheme="majorHAnsi" w:hAnsiTheme="majorHAnsi"/>
          <w:b/>
          <w:sz w:val="18"/>
          <w:szCs w:val="18"/>
        </w:rPr>
        <w:t>firmati elettronicamente.</w:t>
      </w:r>
    </w:p>
    <w:p w:rsidR="00FB5F75" w:rsidRDefault="00FB5F75" w:rsidP="005A77E7">
      <w:pPr>
        <w:jc w:val="both"/>
        <w:rPr>
          <w:rFonts w:asciiTheme="majorHAnsi" w:hAnsiTheme="majorHAnsi"/>
          <w:b/>
          <w:sz w:val="18"/>
          <w:szCs w:val="18"/>
        </w:rPr>
      </w:pPr>
    </w:p>
    <w:p w:rsidR="00FB5F75" w:rsidRPr="005A77E7" w:rsidRDefault="00FB5F75" w:rsidP="00FB5F75">
      <w:pPr>
        <w:jc w:val="both"/>
        <w:rPr>
          <w:rFonts w:asciiTheme="majorHAnsi" w:hAnsiTheme="majorHAnsi"/>
          <w:sz w:val="18"/>
          <w:szCs w:val="18"/>
        </w:rPr>
      </w:pPr>
      <w:r w:rsidRPr="005A77E7">
        <w:rPr>
          <w:rFonts w:asciiTheme="majorHAnsi" w:hAnsiTheme="majorHAnsi"/>
          <w:sz w:val="18"/>
          <w:szCs w:val="18"/>
        </w:rPr>
        <w:t>La documentazione richiesta, ad eccezione del titolo fideiussorio, dovrà essere caricata nel Sistema Informativo GEFO</w:t>
      </w:r>
      <w:r w:rsidRPr="005A77E7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5A77E7">
        <w:rPr>
          <w:rFonts w:asciiTheme="majorHAnsi" w:hAnsiTheme="majorHAnsi"/>
          <w:sz w:val="18"/>
          <w:szCs w:val="18"/>
        </w:rPr>
        <w:t>Finanziamenti On-Line accedendo tramite NOME UTENTE e PASSWORD del capofila secondo il seguente percorso:</w:t>
      </w:r>
    </w:p>
    <w:p w:rsidR="00FB5F75" w:rsidRPr="005A77E7" w:rsidRDefault="00FB5F75" w:rsidP="00FB5F75">
      <w:pPr>
        <w:jc w:val="both"/>
        <w:rPr>
          <w:rFonts w:asciiTheme="majorHAnsi" w:hAnsiTheme="majorHAnsi"/>
          <w:sz w:val="18"/>
          <w:szCs w:val="18"/>
        </w:rPr>
      </w:pPr>
    </w:p>
    <w:p w:rsidR="00FB5F75" w:rsidRPr="005A77E7" w:rsidRDefault="00FB5F75" w:rsidP="00FB5F75">
      <w:pPr>
        <w:pStyle w:val="Paragrafoelenco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5A77E7">
        <w:rPr>
          <w:rFonts w:asciiTheme="majorHAnsi" w:hAnsiTheme="majorHAnsi"/>
          <w:sz w:val="18"/>
          <w:szCs w:val="18"/>
          <w:u w:val="single"/>
        </w:rPr>
        <w:t>SEZIONE DOCUMENTI</w:t>
      </w:r>
      <w:r w:rsidRPr="005A77E7">
        <w:rPr>
          <w:rFonts w:asciiTheme="majorHAnsi" w:hAnsiTheme="majorHAnsi"/>
          <w:sz w:val="18"/>
          <w:szCs w:val="18"/>
        </w:rPr>
        <w:t xml:space="preserve"> ( cartellina gialla)  </w:t>
      </w:r>
      <w:r w:rsidRPr="005A77E7">
        <w:rPr>
          <w:rFonts w:asciiTheme="majorHAnsi" w:hAnsiTheme="majorHAnsi"/>
          <w:b/>
          <w:sz w:val="18"/>
          <w:szCs w:val="18"/>
          <w:u w:val="single"/>
        </w:rPr>
        <w:t>&gt;</w:t>
      </w:r>
      <w:r w:rsidRPr="005A77E7">
        <w:rPr>
          <w:rFonts w:asciiTheme="majorHAnsi" w:hAnsiTheme="majorHAnsi"/>
          <w:sz w:val="18"/>
          <w:szCs w:val="18"/>
          <w:u w:val="single"/>
        </w:rPr>
        <w:t xml:space="preserve"> CARICA DOCUMENTI</w:t>
      </w:r>
      <w:r w:rsidRPr="005A77E7">
        <w:rPr>
          <w:rFonts w:asciiTheme="majorHAnsi" w:hAnsiTheme="majorHAnsi"/>
          <w:sz w:val="18"/>
          <w:szCs w:val="18"/>
        </w:rPr>
        <w:t xml:space="preserve"> si accede alla maschera che permette di caricare i documenti; cliccare</w:t>
      </w:r>
      <w:r w:rsidRPr="005A77E7">
        <w:rPr>
          <w:rFonts w:asciiTheme="majorHAnsi" w:hAnsiTheme="majorHAnsi"/>
          <w:b/>
          <w:bCs/>
          <w:sz w:val="18"/>
          <w:szCs w:val="18"/>
        </w:rPr>
        <w:t xml:space="preserve">, </w:t>
      </w:r>
      <w:r w:rsidRPr="005A77E7">
        <w:rPr>
          <w:rFonts w:asciiTheme="majorHAnsi" w:hAnsiTheme="majorHAnsi"/>
          <w:sz w:val="18"/>
          <w:szCs w:val="18"/>
        </w:rPr>
        <w:t xml:space="preserve">infine, sull'icona "protocollo" </w:t>
      </w:r>
      <w:r w:rsidRPr="005A77E7">
        <w:rPr>
          <w:rFonts w:asciiTheme="majorHAnsi" w:hAnsiTheme="majorHAnsi"/>
          <w:noProof/>
          <w:sz w:val="18"/>
          <w:szCs w:val="18"/>
        </w:rPr>
        <w:drawing>
          <wp:inline distT="0" distB="0" distL="0" distR="0">
            <wp:extent cx="341630" cy="334010"/>
            <wp:effectExtent l="19050" t="0" r="1270" b="0"/>
            <wp:docPr id="4" name="Immagine 1" descr="cid:_1_097E3418097E2FC0003530A1C12578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_1_097E3418097E2FC0003530A1C12578BC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77E7">
        <w:rPr>
          <w:rFonts w:asciiTheme="majorHAnsi" w:hAnsiTheme="majorHAnsi"/>
          <w:b/>
          <w:bCs/>
          <w:color w:val="FF0000"/>
          <w:sz w:val="18"/>
          <w:szCs w:val="18"/>
        </w:rPr>
        <w:t> </w:t>
      </w:r>
      <w:r w:rsidRPr="005A77E7">
        <w:rPr>
          <w:rFonts w:asciiTheme="majorHAnsi" w:hAnsiTheme="majorHAnsi"/>
          <w:sz w:val="18"/>
          <w:szCs w:val="18"/>
        </w:rPr>
        <w:t xml:space="preserve">per l'INVIO. </w:t>
      </w:r>
    </w:p>
    <w:p w:rsidR="00FB5F75" w:rsidRPr="005A77E7" w:rsidRDefault="00FB5F75" w:rsidP="005A77E7">
      <w:pPr>
        <w:jc w:val="both"/>
        <w:rPr>
          <w:rFonts w:asciiTheme="majorHAnsi" w:hAnsiTheme="majorHAnsi"/>
          <w:b/>
          <w:sz w:val="18"/>
          <w:szCs w:val="18"/>
        </w:rPr>
      </w:pPr>
    </w:p>
    <w:p w:rsidR="005A77E7" w:rsidRPr="005A77E7" w:rsidRDefault="005A77E7" w:rsidP="005A77E7">
      <w:pPr>
        <w:pStyle w:val="Paragrafoelenco"/>
        <w:ind w:left="0"/>
        <w:rPr>
          <w:rFonts w:asciiTheme="majorHAnsi" w:hAnsiTheme="majorHAnsi"/>
          <w:sz w:val="18"/>
          <w:szCs w:val="18"/>
        </w:rPr>
      </w:pPr>
    </w:p>
    <w:p w:rsidR="00713134" w:rsidRPr="005A5DC8" w:rsidRDefault="00713134" w:rsidP="00713134">
      <w:pPr>
        <w:pStyle w:val="Paragrafoelenco"/>
        <w:ind w:left="0"/>
        <w:rPr>
          <w:rFonts w:asciiTheme="majorHAnsi" w:hAnsiTheme="majorHAnsi"/>
          <w:b/>
          <w:bCs/>
          <w:sz w:val="18"/>
          <w:szCs w:val="18"/>
        </w:rPr>
      </w:pPr>
    </w:p>
    <w:p w:rsidR="00FD4D6F" w:rsidRDefault="00713134" w:rsidP="00713134">
      <w:pPr>
        <w:jc w:val="both"/>
        <w:rPr>
          <w:rFonts w:asciiTheme="majorHAnsi" w:hAnsiTheme="majorHAnsi"/>
          <w:sz w:val="18"/>
          <w:szCs w:val="18"/>
        </w:rPr>
      </w:pPr>
      <w:r w:rsidRPr="005A5DC8">
        <w:rPr>
          <w:rFonts w:asciiTheme="majorHAnsi" w:hAnsiTheme="majorHAnsi"/>
          <w:sz w:val="18"/>
          <w:szCs w:val="18"/>
        </w:rPr>
        <w:lastRenderedPageBreak/>
        <w:t xml:space="preserve">Al termine del caricamento è necessario  inoltre inviare apposita comunicazione all’indirizzo: </w:t>
      </w:r>
      <w:hyperlink r:id="rId9" w:history="1">
        <w:r w:rsidRPr="005A5DC8">
          <w:rPr>
            <w:rStyle w:val="Collegamentoipertestuale"/>
            <w:rFonts w:asciiTheme="majorHAnsi" w:hAnsiTheme="majorHAnsi"/>
            <w:b/>
            <w:bCs/>
            <w:sz w:val="18"/>
            <w:szCs w:val="18"/>
          </w:rPr>
          <w:t>integrazioni_ergon@finlombarda.it</w:t>
        </w:r>
      </w:hyperlink>
      <w:r w:rsidRPr="005A5DC8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5A5DC8">
        <w:rPr>
          <w:rFonts w:asciiTheme="majorHAnsi" w:hAnsiTheme="majorHAnsi"/>
          <w:sz w:val="18"/>
          <w:szCs w:val="18"/>
        </w:rPr>
        <w:t xml:space="preserve"> indicando i seguenti dati:</w:t>
      </w:r>
    </w:p>
    <w:p w:rsidR="00713134" w:rsidRDefault="00713134" w:rsidP="00713134">
      <w:pPr>
        <w:jc w:val="both"/>
        <w:rPr>
          <w:rFonts w:asciiTheme="majorHAnsi" w:hAnsiTheme="majorHAnsi"/>
          <w:sz w:val="18"/>
          <w:szCs w:val="18"/>
        </w:rPr>
      </w:pPr>
      <w:r w:rsidRPr="005A5DC8">
        <w:rPr>
          <w:rFonts w:asciiTheme="majorHAnsi" w:hAnsiTheme="majorHAnsi"/>
          <w:sz w:val="18"/>
          <w:szCs w:val="18"/>
        </w:rPr>
        <w:t xml:space="preserve"> </w:t>
      </w:r>
    </w:p>
    <w:p w:rsidR="00713134" w:rsidRDefault="00713134" w:rsidP="00713134">
      <w:pPr>
        <w:pStyle w:val="Paragrafoelenco"/>
        <w:numPr>
          <w:ilvl w:val="0"/>
          <w:numId w:val="3"/>
        </w:numPr>
        <w:rPr>
          <w:rFonts w:asciiTheme="majorHAnsi" w:hAnsiTheme="majorHAnsi"/>
          <w:sz w:val="18"/>
          <w:szCs w:val="18"/>
        </w:rPr>
      </w:pPr>
      <w:r w:rsidRPr="00554ECF">
        <w:rPr>
          <w:rFonts w:asciiTheme="majorHAnsi" w:hAnsiTheme="majorHAnsi"/>
          <w:sz w:val="18"/>
          <w:szCs w:val="18"/>
        </w:rPr>
        <w:t xml:space="preserve">ID DOCUMENTO </w:t>
      </w:r>
    </w:p>
    <w:p w:rsidR="00713134" w:rsidRDefault="00713134" w:rsidP="00713134">
      <w:pPr>
        <w:pStyle w:val="Paragrafoelenco"/>
        <w:numPr>
          <w:ilvl w:val="0"/>
          <w:numId w:val="3"/>
        </w:numPr>
        <w:rPr>
          <w:rFonts w:asciiTheme="majorHAnsi" w:hAnsiTheme="majorHAnsi"/>
          <w:sz w:val="18"/>
          <w:szCs w:val="18"/>
        </w:rPr>
      </w:pPr>
      <w:r w:rsidRPr="00554ECF">
        <w:rPr>
          <w:rFonts w:asciiTheme="majorHAnsi" w:hAnsiTheme="majorHAnsi"/>
          <w:sz w:val="18"/>
          <w:szCs w:val="18"/>
        </w:rPr>
        <w:t xml:space="preserve">NUMERO PROTOCOLLO </w:t>
      </w:r>
    </w:p>
    <w:p w:rsidR="00713134" w:rsidRDefault="00713134" w:rsidP="00713134">
      <w:pPr>
        <w:pStyle w:val="Paragrafoelenco"/>
        <w:numPr>
          <w:ilvl w:val="0"/>
          <w:numId w:val="3"/>
        </w:numPr>
        <w:rPr>
          <w:rFonts w:asciiTheme="majorHAnsi" w:hAnsiTheme="majorHAnsi"/>
          <w:sz w:val="18"/>
          <w:szCs w:val="18"/>
        </w:rPr>
      </w:pPr>
      <w:r w:rsidRPr="00554ECF">
        <w:rPr>
          <w:rFonts w:asciiTheme="majorHAnsi" w:hAnsiTheme="majorHAnsi"/>
          <w:sz w:val="18"/>
          <w:szCs w:val="18"/>
        </w:rPr>
        <w:t>DATA PROTOCOLLO</w:t>
      </w:r>
    </w:p>
    <w:p w:rsidR="00713134" w:rsidRPr="00554ECF" w:rsidRDefault="00713134" w:rsidP="00713134">
      <w:pPr>
        <w:pStyle w:val="Paragrafoelenco"/>
        <w:rPr>
          <w:rFonts w:asciiTheme="majorHAnsi" w:hAnsiTheme="majorHAnsi"/>
          <w:sz w:val="18"/>
          <w:szCs w:val="18"/>
        </w:rPr>
      </w:pPr>
    </w:p>
    <w:p w:rsidR="00713134" w:rsidRPr="005A5DC8" w:rsidRDefault="00713134" w:rsidP="00713134">
      <w:pPr>
        <w:ind w:left="708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Distinti </w:t>
      </w:r>
      <w:r w:rsidRPr="005A5DC8">
        <w:rPr>
          <w:rFonts w:asciiTheme="majorHAnsi" w:hAnsiTheme="majorHAnsi"/>
          <w:sz w:val="18"/>
          <w:szCs w:val="18"/>
        </w:rPr>
        <w:t>saluti.</w:t>
      </w:r>
    </w:p>
    <w:p w:rsidR="00713134" w:rsidRDefault="00713134" w:rsidP="00713134">
      <w:pPr>
        <w:ind w:left="4956" w:firstLine="708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FINLOMBARDA</w:t>
      </w:r>
      <w:r w:rsidRPr="005A5DC8">
        <w:rPr>
          <w:rFonts w:asciiTheme="majorHAnsi" w:hAnsiTheme="majorHAnsi"/>
          <w:sz w:val="18"/>
          <w:szCs w:val="18"/>
        </w:rPr>
        <w:t xml:space="preserve"> S.p.A.</w:t>
      </w:r>
    </w:p>
    <w:p w:rsidR="00713134" w:rsidRDefault="00713134" w:rsidP="00713134">
      <w:pPr>
        <w:jc w:val="both"/>
        <w:rPr>
          <w:rFonts w:asciiTheme="majorHAnsi" w:hAnsiTheme="majorHAnsi"/>
          <w:sz w:val="18"/>
          <w:szCs w:val="18"/>
        </w:rPr>
      </w:pPr>
    </w:p>
    <w:p w:rsidR="00713134" w:rsidRDefault="00713134" w:rsidP="00713134">
      <w:pPr>
        <w:jc w:val="both"/>
        <w:rPr>
          <w:rFonts w:asciiTheme="majorHAnsi" w:hAnsiTheme="majorHAnsi"/>
          <w:sz w:val="18"/>
          <w:szCs w:val="18"/>
        </w:rPr>
      </w:pPr>
    </w:p>
    <w:p w:rsidR="00551F81" w:rsidRDefault="00551F81" w:rsidP="00713134">
      <w:pPr>
        <w:jc w:val="both"/>
        <w:rPr>
          <w:rFonts w:asciiTheme="majorHAnsi" w:hAnsiTheme="majorHAnsi"/>
          <w:sz w:val="18"/>
          <w:szCs w:val="18"/>
        </w:rPr>
      </w:pPr>
    </w:p>
    <w:p w:rsidR="00551F81" w:rsidRDefault="00551F81" w:rsidP="00713134">
      <w:pPr>
        <w:jc w:val="both"/>
        <w:rPr>
          <w:rFonts w:asciiTheme="majorHAnsi" w:hAnsiTheme="majorHAnsi"/>
          <w:sz w:val="18"/>
          <w:szCs w:val="18"/>
        </w:rPr>
      </w:pPr>
    </w:p>
    <w:p w:rsidR="00713134" w:rsidRDefault="004E77A8" w:rsidP="00713134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18"/>
          <w:szCs w:val="18"/>
        </w:rPr>
        <w:t>AFM/</w:t>
      </w:r>
      <w:r w:rsidR="00713134">
        <w:rPr>
          <w:rFonts w:asciiTheme="majorHAnsi" w:hAnsiTheme="majorHAnsi"/>
          <w:sz w:val="18"/>
          <w:szCs w:val="18"/>
        </w:rPr>
        <w:t>PROT</w:t>
      </w:r>
      <w:r w:rsidR="00FD4D6F">
        <w:rPr>
          <w:rFonts w:asciiTheme="majorHAnsi" w:hAnsiTheme="majorHAnsi"/>
          <w:sz w:val="18"/>
          <w:szCs w:val="18"/>
        </w:rPr>
        <w:t xml:space="preserve"> </w:t>
      </w:r>
      <w:r w:rsidR="00570C0A">
        <w:rPr>
          <w:rFonts w:asciiTheme="majorHAnsi" w:hAnsiTheme="majorHAnsi"/>
          <w:sz w:val="18"/>
          <w:szCs w:val="18"/>
        </w:rPr>
        <w:t>2446</w:t>
      </w:r>
    </w:p>
    <w:p w:rsidR="005A77E7" w:rsidRDefault="005A77E7" w:rsidP="00E25B0B">
      <w:pPr>
        <w:tabs>
          <w:tab w:val="right" w:pos="9639"/>
        </w:tabs>
        <w:rPr>
          <w:rFonts w:asciiTheme="majorHAnsi" w:hAnsiTheme="majorHAnsi"/>
          <w:sz w:val="22"/>
          <w:szCs w:val="22"/>
        </w:rPr>
      </w:pPr>
    </w:p>
    <w:p w:rsidR="00783CDC" w:rsidRDefault="00783CDC" w:rsidP="00E25B0B">
      <w:pPr>
        <w:tabs>
          <w:tab w:val="right" w:pos="9639"/>
        </w:tabs>
        <w:rPr>
          <w:rFonts w:asciiTheme="majorHAnsi" w:hAnsiTheme="majorHAnsi"/>
          <w:sz w:val="22"/>
          <w:szCs w:val="22"/>
        </w:rPr>
      </w:pPr>
    </w:p>
    <w:sectPr w:rsidR="00783CDC" w:rsidSect="00E25B0B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2268" w:right="1134" w:bottom="567" w:left="1134" w:header="425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83" w:rsidRDefault="00EA7783" w:rsidP="00992B00">
      <w:r>
        <w:separator/>
      </w:r>
    </w:p>
  </w:endnote>
  <w:endnote w:type="continuationSeparator" w:id="0">
    <w:p w:rsidR="00EA7783" w:rsidRDefault="00EA7783" w:rsidP="00992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83" w:rsidRDefault="00EA7783">
    <w:pPr>
      <w:pStyle w:val="Pidipagina"/>
    </w:pPr>
    <w:r>
      <w:rPr>
        <w:noProof/>
      </w:rPr>
      <w:drawing>
        <wp:inline distT="0" distB="0" distL="0" distR="0">
          <wp:extent cx="6116320" cy="358140"/>
          <wp:effectExtent l="0" t="0" r="508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83" w:rsidRDefault="00EA7783" w:rsidP="00992B00">
      <w:r>
        <w:separator/>
      </w:r>
    </w:p>
  </w:footnote>
  <w:footnote w:type="continuationSeparator" w:id="0">
    <w:p w:rsidR="00EA7783" w:rsidRDefault="00EA7783" w:rsidP="00992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83" w:rsidRDefault="00284A9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1pt;height:680.35pt;z-index:-251657216;mso-wrap-edited:f;mso-position-horizontal:center;mso-position-horizontal-relative:margin;mso-position-vertical:center;mso-position-vertical-relative:margin" wrapcoords="-33 0 -33 21552 21600 21552 21600 0 -33 0">
          <v:imagedata r:id="rId1" o:title="SFOND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83" w:rsidRDefault="00284A9B" w:rsidP="006C2897">
    <w:pPr>
      <w:pStyle w:val="Intestazione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.25pt;margin-top:-68.35pt;width:481.1pt;height:680.35pt;z-index:-251658240;mso-wrap-edited:f;mso-position-horizontal-relative:margin;mso-position-vertical-relative:margin" wrapcoords="-33 0 -33 21552 21600 21552 21600 0 -33 0">
          <v:imagedata r:id="rId1" o:title="SFONDO"/>
          <w10:wrap anchorx="margin" anchory="margin"/>
        </v:shape>
      </w:pict>
    </w:r>
    <w:r w:rsidR="00EA7783">
      <w:rPr>
        <w:noProof/>
      </w:rPr>
      <w:drawing>
        <wp:inline distT="0" distB="0" distL="0" distR="0">
          <wp:extent cx="978408" cy="1054608"/>
          <wp:effectExtent l="0" t="0" r="1270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408" cy="1054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783" w:rsidRDefault="00284A9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81.1pt;height:680.35pt;z-index:-251656192;mso-wrap-edited:f;mso-position-horizontal:center;mso-position-horizontal-relative:margin;mso-position-vertical:center;mso-position-vertical-relative:margin" wrapcoords="-33 0 -33 21552 21600 21552 21600 0 -33 0">
          <v:imagedata r:id="rId1" o:title="SFOND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9AC"/>
    <w:multiLevelType w:val="hybridMultilevel"/>
    <w:tmpl w:val="6E623AB4"/>
    <w:lvl w:ilvl="0" w:tplc="12386F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83428"/>
    <w:multiLevelType w:val="hybridMultilevel"/>
    <w:tmpl w:val="31668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81260"/>
    <w:multiLevelType w:val="hybridMultilevel"/>
    <w:tmpl w:val="922083B8"/>
    <w:lvl w:ilvl="0" w:tplc="0374DC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C3524"/>
    <w:multiLevelType w:val="multilevel"/>
    <w:tmpl w:val="BB74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2B00"/>
    <w:rsid w:val="00011004"/>
    <w:rsid w:val="000B75F5"/>
    <w:rsid w:val="000E647C"/>
    <w:rsid w:val="001C2655"/>
    <w:rsid w:val="001E000C"/>
    <w:rsid w:val="001E7D74"/>
    <w:rsid w:val="0020723D"/>
    <w:rsid w:val="00284A9B"/>
    <w:rsid w:val="002B7A3E"/>
    <w:rsid w:val="00352109"/>
    <w:rsid w:val="00387240"/>
    <w:rsid w:val="003A3079"/>
    <w:rsid w:val="00481881"/>
    <w:rsid w:val="004E77A8"/>
    <w:rsid w:val="004E785F"/>
    <w:rsid w:val="00535689"/>
    <w:rsid w:val="00551F81"/>
    <w:rsid w:val="00570C0A"/>
    <w:rsid w:val="00575346"/>
    <w:rsid w:val="005A4F13"/>
    <w:rsid w:val="005A77E7"/>
    <w:rsid w:val="006102A8"/>
    <w:rsid w:val="00653FFE"/>
    <w:rsid w:val="00686516"/>
    <w:rsid w:val="006C2897"/>
    <w:rsid w:val="00713134"/>
    <w:rsid w:val="007255E6"/>
    <w:rsid w:val="007612FE"/>
    <w:rsid w:val="00783CDC"/>
    <w:rsid w:val="007B5949"/>
    <w:rsid w:val="007C6C48"/>
    <w:rsid w:val="0083015C"/>
    <w:rsid w:val="00882DD3"/>
    <w:rsid w:val="00883FAD"/>
    <w:rsid w:val="008A71A4"/>
    <w:rsid w:val="008C2356"/>
    <w:rsid w:val="008C23CC"/>
    <w:rsid w:val="008C7233"/>
    <w:rsid w:val="009057D8"/>
    <w:rsid w:val="009318C1"/>
    <w:rsid w:val="009618C7"/>
    <w:rsid w:val="009677F1"/>
    <w:rsid w:val="00992B00"/>
    <w:rsid w:val="009D3695"/>
    <w:rsid w:val="00A07B4B"/>
    <w:rsid w:val="00AC156C"/>
    <w:rsid w:val="00AC3C10"/>
    <w:rsid w:val="00AE2813"/>
    <w:rsid w:val="00AE76A2"/>
    <w:rsid w:val="00B1444C"/>
    <w:rsid w:val="00B25AD2"/>
    <w:rsid w:val="00B361E5"/>
    <w:rsid w:val="00B96177"/>
    <w:rsid w:val="00BC600E"/>
    <w:rsid w:val="00BD739E"/>
    <w:rsid w:val="00C726DA"/>
    <w:rsid w:val="00C73874"/>
    <w:rsid w:val="00D32CD4"/>
    <w:rsid w:val="00D45C73"/>
    <w:rsid w:val="00D653FC"/>
    <w:rsid w:val="00D823D8"/>
    <w:rsid w:val="00DA2E23"/>
    <w:rsid w:val="00E25B0B"/>
    <w:rsid w:val="00E44F94"/>
    <w:rsid w:val="00EA4255"/>
    <w:rsid w:val="00EA7783"/>
    <w:rsid w:val="00F276B4"/>
    <w:rsid w:val="00F32C8F"/>
    <w:rsid w:val="00FB5F75"/>
    <w:rsid w:val="00FD3505"/>
    <w:rsid w:val="00FD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0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2B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B00"/>
  </w:style>
  <w:style w:type="paragraph" w:styleId="Pidipagina">
    <w:name w:val="footer"/>
    <w:basedOn w:val="Normale"/>
    <w:link w:val="PidipaginaCarattere"/>
    <w:uiPriority w:val="99"/>
    <w:unhideWhenUsed/>
    <w:rsid w:val="00992B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289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2897"/>
    <w:rPr>
      <w:rFonts w:ascii="Lucida Grande" w:hAnsi="Lucida Grande" w:cs="Lucida Grande"/>
      <w:sz w:val="18"/>
      <w:szCs w:val="18"/>
    </w:rPr>
  </w:style>
  <w:style w:type="table" w:customStyle="1" w:styleId="Grigliatabella1">
    <w:name w:val="Griglia tabella1"/>
    <w:basedOn w:val="Tabellanormale"/>
    <w:uiPriority w:val="59"/>
    <w:rsid w:val="00AE2813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E2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25B0B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E25B0B"/>
    <w:pPr>
      <w:tabs>
        <w:tab w:val="left" w:pos="851"/>
        <w:tab w:val="left" w:pos="5954"/>
      </w:tabs>
      <w:jc w:val="both"/>
    </w:pPr>
    <w:rPr>
      <w:rFonts w:ascii="Arial" w:eastAsia="Times New Roman" w:hAnsi="Arial" w:cs="Times New Roman"/>
      <w:sz w:val="2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5B0B"/>
    <w:rPr>
      <w:rFonts w:ascii="Arial" w:eastAsia="Times New Roman" w:hAnsi="Arial" w:cs="Times New Roman"/>
      <w:sz w:val="21"/>
    </w:rPr>
  </w:style>
  <w:style w:type="character" w:styleId="Enfasicorsivo">
    <w:name w:val="Emphasis"/>
    <w:basedOn w:val="Carpredefinitoparagrafo"/>
    <w:qFormat/>
    <w:rsid w:val="00E25B0B"/>
    <w:rPr>
      <w:i/>
      <w:iCs/>
    </w:rPr>
  </w:style>
  <w:style w:type="character" w:styleId="Rimandocommento">
    <w:name w:val="annotation reference"/>
    <w:basedOn w:val="Carpredefinitoparagrafo"/>
    <w:rsid w:val="00E25B0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25B0B"/>
    <w:pPr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E25B0B"/>
    <w:rPr>
      <w:rFonts w:ascii="Verdana" w:eastAsia="Times New Roman" w:hAnsi="Verdana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AC3C10"/>
    <w:rPr>
      <w:b/>
      <w:bCs/>
    </w:rPr>
  </w:style>
  <w:style w:type="paragraph" w:styleId="Paragrafoelenco">
    <w:name w:val="List Paragraph"/>
    <w:basedOn w:val="Normale"/>
    <w:uiPriority w:val="34"/>
    <w:qFormat/>
    <w:rsid w:val="005A77E7"/>
    <w:pPr>
      <w:ind w:left="720"/>
      <w:contextualSpacing/>
      <w:jc w:val="both"/>
    </w:pPr>
    <w:rPr>
      <w:rFonts w:ascii="Verdana" w:eastAsia="Times New Roman" w:hAnsi="Verdana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2B0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B00"/>
  </w:style>
  <w:style w:type="paragraph" w:styleId="Footer">
    <w:name w:val="footer"/>
    <w:basedOn w:val="Normal"/>
    <w:link w:val="FooterChar"/>
    <w:uiPriority w:val="99"/>
    <w:unhideWhenUsed/>
    <w:rsid w:val="00992B0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B00"/>
  </w:style>
  <w:style w:type="paragraph" w:styleId="BalloonText">
    <w:name w:val="Balloon Text"/>
    <w:basedOn w:val="Normal"/>
    <w:link w:val="BalloonTextChar"/>
    <w:uiPriority w:val="99"/>
    <w:semiHidden/>
    <w:unhideWhenUsed/>
    <w:rsid w:val="006C28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_1_097E3418097E2FC0003530A1C12578BC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tegrazioni_ergon@finlombarda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Tipografia Camuna S.p.A.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 Losio</dc:creator>
  <cp:lastModifiedBy>faxenergia</cp:lastModifiedBy>
  <cp:revision>26</cp:revision>
  <cp:lastPrinted>2013-02-04T13:35:00Z</cp:lastPrinted>
  <dcterms:created xsi:type="dcterms:W3CDTF">2013-01-03T10:33:00Z</dcterms:created>
  <dcterms:modified xsi:type="dcterms:W3CDTF">2013-03-05T13:42:00Z</dcterms:modified>
</cp:coreProperties>
</file>