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rPr/>
      </w:pPr>
      <w:r>
        <w:rPr>
          <w:b/>
          <w:bCs/>
        </w:rPr>
        <w:t xml:space="preserve">Table </w:t>
      </w:r>
      <w:r>
        <w:rPr>
          <w:b/>
          <w:bCs/>
        </w:rPr>
        <w:t>2</w:t>
      </w:r>
      <w:r>
        <w:rPr>
          <w:b/>
          <w:bCs/>
        </w:rPr>
        <w:t>.</w:t>
      </w:r>
      <w:r>
        <w:rPr>
          <w:b/>
          <w:bCs/>
        </w:rPr>
        <w:t>2</w:t>
      </w:r>
      <w:r>
        <w:rPr/>
        <w:t>. Canonsleigh Abbey's spiritual possessions.</w:t>
      </w:r>
      <w:r>
        <w:rPr>
          <w:rStyle w:val="FootnoteAnchor"/>
        </w:rPr>
        <w:footnoteReference w:id="2"/>
      </w:r>
    </w:p>
    <w:p>
      <w:pPr>
        <w:pStyle w:val="Normal"/>
        <w:spacing w:lineRule="auto" w:line="360"/>
        <w:rPr/>
      </w:pPr>
      <w:r>
        <w:rPr/>
      </w:r>
    </w:p>
    <w:tbl>
      <w:tblPr>
        <w:tblW w:w="903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50"/>
        <w:gridCol w:w="1920"/>
        <w:gridCol w:w="2235"/>
        <w:gridCol w:w="1725"/>
        <w:gridCol w:w="1800"/>
      </w:tblGrid>
      <w:tr>
        <w:trPr>
          <w:tblHeader w:val="true"/>
          <w:cantSplit w:val="true"/>
        </w:trPr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Type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Property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Parish</w:t>
            </w:r>
          </w:p>
        </w:tc>
        <w:tc>
          <w:tcPr>
            <w:tcW w:w="1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Tenure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References</w:t>
            </w:r>
          </w:p>
        </w:tc>
      </w:tr>
      <w:tr>
        <w:trPr>
          <w:cantSplit w:val="true"/>
        </w:trPr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Church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Burlescombe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Burlescombe, Devon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By 1177; approp.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b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y 1282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/>
                <w:iCs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Cart.,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12, 32</w:t>
            </w:r>
          </w:p>
        </w:tc>
      </w:tr>
      <w:tr>
        <w:trPr>
          <w:cantSplit w:val="true"/>
        </w:trPr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Church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Dowland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Dowland, Devon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b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y 1177; approp. By 1238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/>
                <w:iCs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Cart.,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12, 32, 142</w:t>
            </w:r>
          </w:p>
        </w:tc>
      </w:tr>
      <w:tr>
        <w:trPr>
          <w:cantSplit w:val="true"/>
        </w:trPr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Church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Dunsford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Dunsford, Devon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From </w:t>
            </w:r>
            <w:r>
              <w:rPr>
                <w:b w:val="false"/>
                <w:i/>
                <w:iCs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c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. 1291; approp.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b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y 1314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/>
                <w:iCs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Cart.,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271, 276</w:t>
            </w:r>
          </w:p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Church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East Morden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Morden, Dorset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By 1177; approp.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b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y 1262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/>
                <w:iCs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Cart.,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12, 133</w:t>
            </w:r>
          </w:p>
        </w:tc>
      </w:tr>
      <w:tr>
        <w:trPr>
          <w:cantSplit w:val="true"/>
        </w:trPr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Church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Hockworthy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Hockworthy, Devon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By 1201; approp. 1202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 w:val="false"/>
                <w:i/>
                <w:iCs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Cart.,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144, 154; </w:t>
            </w:r>
            <w:r>
              <w:rPr>
                <w:b w:val="false"/>
                <w:i/>
                <w:iCs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Reg. Bronescombe,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 II, p. 73 (item 1029, December 1274)</w:t>
            </w:r>
          </w:p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Church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Little Hempstone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Hempstone, Devon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y 1264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/>
                <w:iCs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Cart.,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127-8, 131</w:t>
            </w:r>
          </w:p>
        </w:tc>
      </w:tr>
      <w:tr>
        <w:trPr>
          <w:cantSplit w:val="true"/>
        </w:trPr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Church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Northleigh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Northleigh, Devon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moiety, prob.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f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rom </w:t>
            </w:r>
            <w:r>
              <w:rPr>
                <w:b w:val="false"/>
                <w:i/>
                <w:iCs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c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. 1313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/>
                <w:iCs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Cart.,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p. xv, nos. 266-70</w:t>
            </w:r>
          </w:p>
        </w:tc>
      </w:tr>
      <w:tr>
        <w:trPr>
          <w:cantSplit w:val="true"/>
        </w:trPr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Church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Rockbeare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Rockbeare, Devon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By 1289; approp. 1333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/>
                <w:iCs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Cart.,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262</w:t>
            </w:r>
          </w:p>
        </w:tc>
      </w:tr>
      <w:tr>
        <w:trPr>
          <w:cantSplit w:val="true"/>
        </w:trPr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Church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Sampford Arundel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Sampford Arundel, Somerset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By 1204; approp. By 1205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/>
                <w:iCs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Cart.,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110, 114-115</w:t>
            </w:r>
          </w:p>
        </w:tc>
      </w:tr>
      <w:tr>
        <w:trPr>
          <w:cantSplit w:val="true"/>
        </w:trPr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Chapel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All Saints, Canonsleigh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Burlescombe, Devon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By 1539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/>
                <w:iCs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Cart.,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p. xv</w:t>
            </w:r>
          </w:p>
        </w:tc>
      </w:tr>
      <w:tr>
        <w:trPr>
          <w:cantSplit w:val="true"/>
        </w:trPr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Chapel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Holy Trinity, West Leigh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Burlescombe, Devon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By 1539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/>
                <w:iCs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Cart.,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p. xv</w:t>
            </w:r>
          </w:p>
        </w:tc>
      </w:tr>
      <w:tr>
        <w:trPr>
          <w:cantSplit w:val="true"/>
        </w:trPr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Chapel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St Cyr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Cruwys Morchard, Devon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By 1439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 w:val="false"/>
                <w:i/>
                <w:iCs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Reg. Lacy</w:t>
            </w:r>
            <w:r>
              <w:rPr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 </w:t>
            </w:r>
            <w:r>
              <w:rPr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(ed. Dunstan)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,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II,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p. 149</w:t>
            </w:r>
          </w:p>
        </w:tc>
      </w:tr>
      <w:tr>
        <w:trPr>
          <w:cantSplit w:val="true"/>
        </w:trPr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Chapel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St Theobald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Burlescombe, Devon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From </w:t>
            </w:r>
            <w:r>
              <w:rPr>
                <w:i/>
                <w:iCs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. 1374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/>
                <w:iCs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Reg. Brantyngham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, I,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p.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335</w:t>
            </w:r>
          </w:p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Chapel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St Thomas the Martyr, Canonsleigh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Burlescombe, Devon</w:t>
            </w:r>
          </w:p>
        </w:tc>
        <w:tc>
          <w:tcPr>
            <w:tcW w:w="17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From </w:t>
            </w:r>
            <w:r>
              <w:rPr>
                <w:i/>
                <w:iCs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. 1389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 w:val="false"/>
                <w:i/>
                <w:iCs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Reg Brantyngham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,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II,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p.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678</w:t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>
          <w:i/>
          <w:i/>
          <w:iCs/>
        </w:rPr>
      </w:pPr>
      <w:r>
        <w:rPr>
          <w:i/>
          <w:iCs/>
        </w:rPr>
      </w:r>
    </w:p>
    <w:tbl>
      <w:tblPr>
        <w:tblW w:w="8205" w:type="dxa"/>
        <w:jc w:val="left"/>
        <w:tblInd w:w="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35"/>
        <w:gridCol w:w="3870"/>
      </w:tblGrid>
      <w:tr>
        <w:trPr/>
        <w:tc>
          <w:tcPr>
            <w:tcW w:w="4335" w:type="dxa"/>
            <w:tcBorders/>
          </w:tcPr>
          <w:p>
            <w:pPr>
              <w:pStyle w:val="Normal"/>
              <w:tabs>
                <w:tab w:val="clear" w:pos="408"/>
              </w:tabs>
              <w:spacing w:lineRule="auto" w:line="360"/>
              <w:ind w:left="284" w:right="0" w:hanging="272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Exeter, Devon Heritage Centre</w:t>
            </w:r>
          </w:p>
          <w:p>
            <w:pPr>
              <w:pStyle w:val="Normal"/>
              <w:tabs>
                <w:tab w:val="clear" w:pos="408"/>
              </w:tabs>
              <w:spacing w:lineRule="auto" w:line="360"/>
              <w:ind w:left="284" w:right="0" w:hanging="272"/>
              <w:rPr>
                <w:rFonts w:ascii="Times New Roman" w:hAnsi="Times New Roman"/>
                <w:b w:val="false"/>
                <w:i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</w:pP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>1192Z</w:t>
            </w:r>
          </w:p>
          <w:p>
            <w:pPr>
              <w:pStyle w:val="Normal"/>
              <w:tabs>
                <w:tab w:val="clear" w:pos="408"/>
              </w:tabs>
              <w:spacing w:lineRule="auto" w:line="360"/>
              <w:ind w:left="284" w:right="0" w:hanging="272"/>
              <w:rPr>
                <w:rFonts w:ascii="Times New Roman" w:hAnsi="Times New Roman"/>
                <w:b w:val="false"/>
                <w:i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</w:pP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</w:r>
          </w:p>
          <w:p>
            <w:pPr>
              <w:pStyle w:val="Normal"/>
              <w:tabs>
                <w:tab w:val="clear" w:pos="408"/>
              </w:tabs>
              <w:spacing w:lineRule="auto" w:line="360"/>
              <w:ind w:left="284" w:right="0" w:hanging="272"/>
              <w:rPr>
                <w:rStyle w:val="StrongEmphasis"/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222222"/>
                <w:spacing w:val="0"/>
                <w:sz w:val="24"/>
                <w:szCs w:val="24"/>
                <w:u w:val="none"/>
                <w:em w:val="none"/>
              </w:rPr>
            </w:pPr>
            <w:r>
              <w:rPr>
                <w:i/>
                <w:iCs/>
              </w:rPr>
            </w:r>
          </w:p>
          <w:p>
            <w:pPr>
              <w:pStyle w:val="Normal"/>
              <w:tabs>
                <w:tab w:val="clear" w:pos="408"/>
              </w:tabs>
              <w:spacing w:lineRule="auto" w:line="360"/>
              <w:ind w:left="284" w:right="0" w:hanging="272"/>
              <w:rPr>
                <w:rStyle w:val="StrongEmphasis"/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222222"/>
                <w:spacing w:val="0"/>
                <w:sz w:val="24"/>
                <w:szCs w:val="24"/>
                <w:u w:val="none"/>
                <w:em w:val="none"/>
              </w:rPr>
            </w:pPr>
            <w:r>
              <w:rPr>
                <w:i/>
                <w:iCs/>
              </w:rPr>
            </w:r>
          </w:p>
          <w:p>
            <w:pPr>
              <w:pStyle w:val="Normal"/>
              <w:tabs>
                <w:tab w:val="clear" w:pos="408"/>
              </w:tabs>
              <w:spacing w:lineRule="auto" w:line="360"/>
              <w:ind w:left="284" w:right="0" w:hanging="272"/>
              <w:rPr>
                <w:i/>
                <w:i/>
                <w:iCs/>
              </w:rPr>
            </w:pPr>
            <w:r>
              <w:rPr>
                <w:rStyle w:val="StrongEmphasis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222222"/>
                <w:spacing w:val="0"/>
                <w:sz w:val="24"/>
                <w:szCs w:val="24"/>
                <w:u w:val="none"/>
                <w:em w:val="none"/>
              </w:rPr>
              <w:t>1192Z/Z/16</w:t>
            </w:r>
          </w:p>
          <w:p>
            <w:pPr>
              <w:pStyle w:val="Normal"/>
              <w:tabs>
                <w:tab w:val="clear" w:pos="408"/>
              </w:tabs>
              <w:spacing w:lineRule="auto" w:line="360"/>
              <w:ind w:left="284" w:right="0" w:hanging="272"/>
              <w:rPr>
                <w:rStyle w:val="StrongEmphasis"/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  <w:szCs w:val="24"/>
              </w:rPr>
            </w:pPr>
            <w:r>
              <w:rPr>
                <w:i/>
                <w:iCs/>
              </w:rPr>
            </w:r>
          </w:p>
          <w:p>
            <w:pPr>
              <w:pStyle w:val="Normal"/>
              <w:tabs>
                <w:tab w:val="clear" w:pos="408"/>
              </w:tabs>
              <w:spacing w:lineRule="auto" w:line="360"/>
              <w:ind w:left="284" w:right="0" w:hanging="272"/>
              <w:rPr>
                <w:rStyle w:val="StrongEmphasis"/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</w:pPr>
            <w:r>
              <w:rPr>
                <w:i/>
                <w:iCs/>
              </w:rPr>
            </w:r>
          </w:p>
          <w:p>
            <w:pPr>
              <w:pStyle w:val="Normal"/>
              <w:tabs>
                <w:tab w:val="clear" w:pos="408"/>
              </w:tabs>
              <w:spacing w:lineRule="auto" w:line="360"/>
              <w:ind w:left="284" w:right="0" w:hanging="272"/>
              <w:rPr>
                <w:i/>
                <w:i/>
                <w:iCs/>
              </w:rPr>
            </w:pPr>
            <w:r>
              <w:rPr>
                <w:rStyle w:val="StrongEmphasis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326 M/Z/8</w:t>
            </w:r>
            <w:r>
              <w:rPr>
                <w:b w:val="false"/>
                <w:bCs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  <w:szCs w:val="24"/>
              </w:rPr>
              <w:t xml:space="preserve"> </w:t>
            </w:r>
          </w:p>
          <w:p>
            <w:pPr>
              <w:pStyle w:val="Normal"/>
              <w:tabs>
                <w:tab w:val="clear" w:pos="408"/>
              </w:tabs>
              <w:spacing w:lineRule="auto" w:line="360"/>
              <w:ind w:left="284" w:right="0" w:hanging="272"/>
              <w:rPr>
                <w:rFonts w:ascii="Times New Roman" w:hAnsi="Times New Roman"/>
                <w:b w:val="false"/>
                <w:i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</w:pP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</w:r>
          </w:p>
          <w:p>
            <w:pPr>
              <w:pStyle w:val="Normal"/>
              <w:tabs>
                <w:tab w:val="clear" w:pos="408"/>
              </w:tabs>
              <w:spacing w:lineRule="auto" w:line="360"/>
              <w:ind w:left="284" w:right="0" w:hanging="272"/>
              <w:rPr>
                <w:rFonts w:ascii="Times New Roman" w:hAnsi="Times New Roman"/>
                <w:b w:val="false"/>
                <w:i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</w:pP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</w:r>
          </w:p>
          <w:p>
            <w:pPr>
              <w:pStyle w:val="Normal"/>
              <w:tabs>
                <w:tab w:val="clear" w:pos="408"/>
              </w:tabs>
              <w:spacing w:lineRule="auto" w:line="360"/>
              <w:ind w:left="284" w:right="0" w:hanging="272"/>
              <w:rPr>
                <w:rFonts w:ascii="Times New Roman" w:hAnsi="Times New Roman"/>
                <w:b w:val="false"/>
                <w:i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</w:pP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</w:r>
          </w:p>
          <w:p>
            <w:pPr>
              <w:pStyle w:val="Normal"/>
              <w:tabs>
                <w:tab w:val="clear" w:pos="408"/>
              </w:tabs>
              <w:spacing w:lineRule="auto" w:line="360"/>
              <w:ind w:left="284" w:right="0" w:hanging="272"/>
              <w:rPr>
                <w:rFonts w:ascii="Times New Roman" w:hAnsi="Times New Roman"/>
                <w:b w:val="false"/>
                <w:b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222222"/>
                <w:spacing w:val="0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222222"/>
                <w:spacing w:val="0"/>
                <w:sz w:val="24"/>
                <w:szCs w:val="24"/>
                <w:u w:val="none"/>
                <w:em w:val="none"/>
              </w:rPr>
            </w:r>
          </w:p>
          <w:p>
            <w:pPr>
              <w:pStyle w:val="Normal"/>
              <w:tabs>
                <w:tab w:val="clear" w:pos="408"/>
              </w:tabs>
              <w:spacing w:lineRule="auto" w:line="360"/>
              <w:ind w:left="284" w:right="0" w:hanging="272"/>
              <w:rPr>
                <w:rFonts w:ascii="Times New Roman" w:hAnsi="Times New Roman"/>
                <w:b w:val="false"/>
                <w:b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222222"/>
                <w:spacing w:val="0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222222"/>
                <w:spacing w:val="0"/>
                <w:sz w:val="24"/>
                <w:szCs w:val="24"/>
                <w:u w:val="none"/>
                <w:em w:val="none"/>
              </w:rPr>
              <w:t>6551-0</w:t>
            </w:r>
          </w:p>
          <w:p>
            <w:pPr>
              <w:pStyle w:val="Normal"/>
              <w:tabs>
                <w:tab w:val="clear" w:pos="408"/>
              </w:tabs>
              <w:spacing w:lineRule="auto" w:line="360"/>
              <w:ind w:left="0" w:right="0" w:hanging="0"/>
              <w:rPr>
                <w:rFonts w:ascii="Times New Roman" w:hAnsi="Times New Roman"/>
                <w:b w:val="false"/>
                <w:i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</w:pP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</w:r>
          </w:p>
          <w:p>
            <w:pPr>
              <w:pStyle w:val="Normal"/>
              <w:tabs>
                <w:tab w:val="clear" w:pos="408"/>
              </w:tabs>
              <w:spacing w:lineRule="auto" w:line="360"/>
              <w:ind w:left="0" w:right="0" w:hanging="0"/>
              <w:rPr>
                <w:rFonts w:ascii="Times New Roman" w:hAnsi="Times New Roman"/>
                <w:b w:val="false"/>
                <w:i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</w:pP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>Chanter series of unpublished bishops</w:t>
            </w: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>'</w:t>
            </w: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 xml:space="preserve"> registers </w:t>
            </w: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>for the Exeter diocese</w:t>
            </w: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 xml:space="preserve">, </w:t>
            </w: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>numbers 12.</w:t>
            </w: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>1</w:t>
            </w: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>, 12.</w:t>
            </w: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>2</w:t>
            </w: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>, 13 &amp; 14.</w:t>
            </w:r>
          </w:p>
          <w:p>
            <w:pPr>
              <w:pStyle w:val="Normal"/>
              <w:tabs>
                <w:tab w:val="clear" w:pos="408"/>
              </w:tabs>
              <w:spacing w:lineRule="auto" w:line="360"/>
              <w:ind w:left="284" w:right="0" w:hanging="272"/>
              <w:rPr>
                <w:rFonts w:ascii="Times New Roman" w:hAnsi="Times New Roman"/>
                <w:b w:val="false"/>
                <w:i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</w:pP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</w:r>
          </w:p>
          <w:p>
            <w:pPr>
              <w:pStyle w:val="Normal"/>
              <w:tabs>
                <w:tab w:val="clear" w:pos="408"/>
              </w:tabs>
              <w:spacing w:lineRule="auto" w:line="360"/>
              <w:ind w:left="284" w:right="0" w:hanging="272"/>
              <w:rPr>
                <w:rFonts w:ascii="Times New Roman" w:hAnsi="Times New Roman"/>
                <w:b w:val="false"/>
                <w:i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</w:pP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</w:r>
          </w:p>
          <w:p>
            <w:pPr>
              <w:pStyle w:val="Normal"/>
              <w:tabs>
                <w:tab w:val="clear" w:pos="408"/>
              </w:tabs>
              <w:spacing w:lineRule="auto" w:line="360"/>
              <w:ind w:left="284" w:right="0" w:hanging="272"/>
              <w:rPr>
                <w:rFonts w:ascii="Times New Roman" w:hAnsi="Times New Roman"/>
                <w:b w:val="false"/>
                <w:b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222222"/>
                <w:spacing w:val="0"/>
                <w:sz w:val="24"/>
                <w:szCs w:val="24"/>
                <w:u w:val="none"/>
                <w:em w:val="none"/>
              </w:rPr>
            </w:pPr>
            <w:r>
              <w:rPr>
                <w:b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222222"/>
                <w:spacing w:val="0"/>
                <w:sz w:val="24"/>
                <w:szCs w:val="24"/>
                <w:u w:val="none"/>
                <w:em w:val="none"/>
              </w:rPr>
            </w:r>
          </w:p>
        </w:tc>
        <w:tc>
          <w:tcPr>
            <w:tcW w:w="3870" w:type="dxa"/>
            <w:tcBorders/>
          </w:tcPr>
          <w:p>
            <w:pPr>
              <w:pStyle w:val="TableContents"/>
              <w:spacing w:lineRule="auto" w:line="360"/>
              <w:rPr/>
            </w:pPr>
            <w:r>
              <w:rPr/>
            </w:r>
          </w:p>
          <w:p>
            <w:pPr>
              <w:pStyle w:val="Normal"/>
              <w:spacing w:lineRule="auto" w:line="360"/>
              <w:ind w:left="0" w:right="0" w:hanging="0"/>
              <w:rPr>
                <w:rFonts w:ascii="Times New Roman" w:hAnsi="Times New Roman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b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222222"/>
                <w:spacing w:val="0"/>
                <w:sz w:val="24"/>
                <w:szCs w:val="24"/>
                <w:u w:val="none"/>
                <w:em w:val="none"/>
              </w:rPr>
              <w:t>Eighteen</w:t>
            </w:r>
            <w:r>
              <w:rPr>
                <w:b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222222"/>
                <w:spacing w:val="0"/>
                <w:sz w:val="24"/>
                <w:szCs w:val="24"/>
                <w:u w:val="none"/>
                <w:em w:val="none"/>
              </w:rPr>
              <w:t xml:space="preserve"> original documents relating to Canonsleigh from Viscount Portman's </w:t>
            </w:r>
            <w:r>
              <w:rPr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collection </w:t>
            </w:r>
            <w:r>
              <w:rPr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(late 12</w:t>
            </w:r>
            <w:r>
              <w:rPr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vertAlign w:val="superscript"/>
                <w:em w:val="none"/>
              </w:rPr>
              <w:t>th</w:t>
            </w:r>
            <w:r>
              <w:rPr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 to late 13</w:t>
            </w:r>
            <w:r>
              <w:rPr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vertAlign w:val="superscript"/>
                <w:em w:val="none"/>
              </w:rPr>
              <w:t>th</w:t>
            </w:r>
            <w:r>
              <w:rPr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 xml:space="preserve"> centuries)</w:t>
            </w:r>
            <w:r>
              <w:rPr>
                <w:b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</w:rPr>
              <w:t>.</w:t>
            </w:r>
          </w:p>
          <w:p>
            <w:pPr>
              <w:pStyle w:val="TableContents"/>
              <w:spacing w:lineRule="auto" w:line="360"/>
              <w:ind w:left="0" w:right="0" w:hanging="0"/>
              <w:rPr>
                <w:rFonts w:ascii="Times New Roman" w:hAnsi="Times New Roman"/>
                <w:b w:val="false"/>
                <w:i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</w:pP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 xml:space="preserve">Letters patent from Edward III to </w:t>
            </w: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>Canonsleigh Abbey</w:t>
            </w: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 xml:space="preserve"> granting customs duties, </w:t>
            </w: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>dated October 1331.</w:t>
            </w:r>
          </w:p>
          <w:p>
            <w:pPr>
              <w:pStyle w:val="TableContents"/>
              <w:spacing w:lineRule="auto" w:line="360"/>
              <w:ind w:left="0" w:right="0" w:hanging="0"/>
              <w:rPr>
                <w:rFonts w:ascii="Times New Roman" w:hAnsi="Times New Roman"/>
                <w:b w:val="false"/>
                <w:i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</w:pP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 xml:space="preserve">Fragment </w:t>
            </w: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>(15</w:t>
            </w: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  <w:vertAlign w:val="superscript"/>
              </w:rPr>
              <w:t>th</w:t>
            </w: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 xml:space="preserve"> century) </w:t>
            </w: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 xml:space="preserve">giving depositions of various men in reply to articles of inquiry to tenants of the abbess and convent of Canonslegh </w:t>
            </w: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>[</w:t>
            </w:r>
            <w:r>
              <w:rPr>
                <w:b w:val="false"/>
                <w:i/>
                <w:iCs/>
                <w:caps w:val="false"/>
                <w:smallCaps w:val="false"/>
                <w:color w:val="222222"/>
                <w:spacing w:val="0"/>
                <w:sz w:val="24"/>
              </w:rPr>
              <w:t>sic</w:t>
            </w: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>]</w:t>
            </w: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>, concerning their holdings and tenure.</w:t>
            </w:r>
          </w:p>
          <w:p>
            <w:pPr>
              <w:pStyle w:val="TableContents"/>
              <w:spacing w:lineRule="auto" w:line="360"/>
              <w:ind w:left="0" w:right="0" w:hanging="0"/>
              <w:rPr>
                <w:rFonts w:ascii="Times New Roman" w:hAnsi="Times New Roman"/>
                <w:b w:val="false"/>
                <w:i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</w:pP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>Five deeds relating to Canon</w:t>
            </w: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>s</w:t>
            </w: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 xml:space="preserve">leigh Abbey </w:t>
            </w: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>(13th century-1488).</w:t>
            </w:r>
          </w:p>
          <w:p>
            <w:pPr>
              <w:pStyle w:val="TableContents"/>
              <w:spacing w:lineRule="auto" w:line="360"/>
              <w:ind w:left="0" w:right="0" w:hanging="0"/>
              <w:rPr>
                <w:rFonts w:ascii="Times New Roman" w:hAnsi="Times New Roman"/>
                <w:b w:val="false"/>
                <w:i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</w:pP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>Covering the episcopates of the following:</w:t>
            </w:r>
          </w:p>
          <w:p>
            <w:pPr>
              <w:pStyle w:val="TableContents"/>
              <w:spacing w:lineRule="auto" w:line="360"/>
              <w:ind w:left="0" w:right="0" w:hanging="0"/>
              <w:rPr>
                <w:rFonts w:ascii="Times New Roman" w:hAnsi="Times New Roman"/>
                <w:b w:val="false"/>
                <w:i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</w:pP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>George Neville, 1456-65; John Booth, 1465-78; Peter Courtenay, 1478-87; Richard Fox, 1487-92; Oliver King, 1492-5; Richard Redmayn, 1495-1501; John Arundel, 1502-4; Hugh Oldham, 1504-19; John Veysey, 1519-1551.</w:t>
            </w:r>
          </w:p>
        </w:tc>
      </w:tr>
      <w:tr>
        <w:trPr/>
        <w:tc>
          <w:tcPr>
            <w:tcW w:w="4335" w:type="dxa"/>
            <w:tcBorders/>
          </w:tcPr>
          <w:p>
            <w:pPr>
              <w:pStyle w:val="Normal"/>
              <w:tabs>
                <w:tab w:val="clear" w:pos="408"/>
              </w:tabs>
              <w:spacing w:lineRule="auto" w:line="360"/>
              <w:ind w:left="284" w:right="0" w:hanging="272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London, British Library</w:t>
            </w:r>
          </w:p>
          <w:p>
            <w:pPr>
              <w:pStyle w:val="Normal"/>
              <w:tabs>
                <w:tab w:val="clear" w:pos="408"/>
              </w:tabs>
              <w:spacing w:lineRule="auto" w:line="360"/>
              <w:ind w:left="284" w:right="0" w:hanging="272"/>
              <w:rPr>
                <w:b/>
                <w:b/>
                <w:bCs/>
                <w:i/>
                <w:i/>
                <w:iCs/>
              </w:rPr>
            </w:pPr>
            <w:r>
              <w:rPr>
                <w:b w:val="false"/>
                <w:bCs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  <w:szCs w:val="24"/>
              </w:rPr>
              <w:t xml:space="preserve">Add. </w:t>
            </w:r>
            <w:r>
              <w:rPr>
                <w:b w:val="false"/>
                <w:bCs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  <w:szCs w:val="24"/>
              </w:rPr>
              <w:t>Ch.</w:t>
            </w:r>
            <w:r>
              <w:rPr>
                <w:b w:val="false"/>
                <w:bCs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  <w:szCs w:val="24"/>
              </w:rPr>
              <w:t xml:space="preserve"> 7655-76</w:t>
            </w:r>
            <w:r>
              <w:rPr>
                <w:b w:val="false"/>
                <w:bCs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  <w:szCs w:val="24"/>
              </w:rPr>
              <w:t>58</w:t>
            </w:r>
          </w:p>
        </w:tc>
        <w:tc>
          <w:tcPr>
            <w:tcW w:w="3870" w:type="dxa"/>
            <w:tcBorders/>
          </w:tcPr>
          <w:p>
            <w:pPr>
              <w:pStyle w:val="TableContents"/>
              <w:spacing w:lineRule="auto" w:line="360"/>
              <w:rPr/>
            </w:pPr>
            <w:r>
              <w:rPr/>
            </w:r>
          </w:p>
          <w:p>
            <w:pPr>
              <w:pStyle w:val="TableContents"/>
              <w:spacing w:lineRule="auto" w:line="360"/>
              <w:rPr/>
            </w:pPr>
            <w:r>
              <w:rPr/>
              <w:t xml:space="preserve">Four account rolls for the manors of Dunsford, Canonsleigh, Rockbeare and Hockford </w:t>
            </w:r>
            <w:r>
              <w:rPr/>
              <w:t>for the year 1377-78.</w:t>
            </w:r>
          </w:p>
        </w:tc>
      </w:tr>
      <w:tr>
        <w:trPr/>
        <w:tc>
          <w:tcPr>
            <w:tcW w:w="4335" w:type="dxa"/>
            <w:tcBorders/>
          </w:tcPr>
          <w:p>
            <w:pPr>
              <w:pStyle w:val="Normal"/>
              <w:tabs>
                <w:tab w:val="clear" w:pos="408"/>
              </w:tabs>
              <w:spacing w:lineRule="auto" w:line="360"/>
              <w:ind w:left="0" w:right="0" w:hanging="0"/>
              <w:rPr>
                <w:b w:val="false"/>
                <w:b w:val="false"/>
                <w:bCs w:val="false"/>
                <w:i w:val="false"/>
                <w:i w:val="false"/>
                <w:iCs w:val="false"/>
              </w:rPr>
            </w:pPr>
            <w:r>
              <w:rPr>
                <w:b w:val="false"/>
                <w:bCs w:val="false"/>
                <w:i w:val="false"/>
                <w:iCs w:val="false"/>
              </w:rPr>
              <w:t>Harleian MS. 3660</w:t>
            </w:r>
          </w:p>
        </w:tc>
        <w:tc>
          <w:tcPr>
            <w:tcW w:w="3870" w:type="dxa"/>
            <w:tcBorders/>
          </w:tcPr>
          <w:p>
            <w:pPr>
              <w:pStyle w:val="TableContents"/>
              <w:spacing w:lineRule="auto" w:line="360"/>
              <w:rPr/>
            </w:pPr>
            <w:r>
              <w:rPr/>
              <w:t xml:space="preserve">The cartulary and extents of Canonsleigh Abbey </w:t>
            </w:r>
            <w:r>
              <w:rPr/>
              <w:t>from 1323 to 16</w:t>
            </w:r>
            <w:r>
              <w:rPr>
                <w:vertAlign w:val="superscript"/>
              </w:rPr>
              <w:t>th</w:t>
            </w:r>
            <w:r>
              <w:rPr/>
              <w:t xml:space="preserve"> century.</w:t>
            </w:r>
          </w:p>
        </w:tc>
      </w:tr>
      <w:tr>
        <w:trPr/>
        <w:tc>
          <w:tcPr>
            <w:tcW w:w="4335" w:type="dxa"/>
            <w:tcBorders/>
          </w:tcPr>
          <w:p>
            <w:pPr>
              <w:pStyle w:val="Normal"/>
              <w:tabs>
                <w:tab w:val="clear" w:pos="408"/>
              </w:tabs>
              <w:spacing w:lineRule="auto" w:line="360"/>
              <w:ind w:left="0" w:right="0" w:hanging="0"/>
              <w:rPr>
                <w:b/>
                <w:b/>
                <w:bCs/>
                <w:i/>
                <w:i/>
                <w:iCs/>
              </w:rPr>
            </w:pPr>
            <w:r>
              <w:rPr>
                <w:b/>
                <w:bCs/>
                <w:i/>
                <w:iCs/>
              </w:rPr>
              <w:t>London,</w:t>
            </w:r>
            <w:r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 xml:space="preserve">The </w:t>
            </w:r>
            <w:r>
              <w:rPr>
                <w:b/>
                <w:bCs/>
                <w:i/>
                <w:iCs/>
              </w:rPr>
              <w:t>National Archives</w:t>
            </w:r>
          </w:p>
          <w:p>
            <w:pPr>
              <w:pStyle w:val="Normal"/>
              <w:tabs>
                <w:tab w:val="clear" w:pos="408"/>
              </w:tabs>
              <w:spacing w:lineRule="auto" w:line="360"/>
              <w:ind w:left="0" w:right="0" w:hanging="0"/>
              <w:rPr>
                <w:i w:val="false"/>
                <w:i w:val="false"/>
                <w:iCs w:val="false"/>
              </w:rPr>
            </w:pPr>
            <w:r>
              <w:rPr>
                <w:b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>DL 30/57</w:t>
            </w:r>
            <w:r>
              <w:rPr>
                <w:i w:val="false"/>
                <w:iCs w:val="false"/>
              </w:rPr>
              <w:t xml:space="preserve"> </w:t>
            </w:r>
          </w:p>
        </w:tc>
        <w:tc>
          <w:tcPr>
            <w:tcW w:w="3870" w:type="dxa"/>
            <w:tcBorders/>
          </w:tcPr>
          <w:p>
            <w:pPr>
              <w:pStyle w:val="TableContents"/>
              <w:spacing w:lineRule="auto" w:line="360"/>
              <w:rPr/>
            </w:pPr>
            <w:r>
              <w:rPr/>
            </w:r>
          </w:p>
          <w:p>
            <w:pPr>
              <w:pStyle w:val="TableContents"/>
              <w:spacing w:lineRule="auto" w:line="36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</w:rPr>
            </w:pPr>
            <w:r>
              <w:rPr>
                <w:b w:val="false"/>
                <w:bCs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>C</w:t>
            </w:r>
            <w:r>
              <w:rPr>
                <w:b w:val="false"/>
                <w:bCs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 xml:space="preserve">ourt rolls </w:t>
            </w:r>
            <w:r>
              <w:rPr>
                <w:b w:val="false"/>
                <w:bCs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 xml:space="preserve">for </w:t>
            </w:r>
            <w:r>
              <w:rPr>
                <w:b w:val="false"/>
                <w:bCs w:val="false"/>
                <w:i w:val="false"/>
                <w:iCs w:val="false"/>
                <w:caps w:val="false"/>
                <w:smallCaps w:val="false"/>
                <w:color w:val="222222"/>
                <w:spacing w:val="0"/>
                <w:sz w:val="24"/>
              </w:rPr>
              <w:t>1413-1555</w:t>
            </w:r>
            <w:r>
              <w:rPr>
                <w:b w:val="false"/>
                <w:bCs w:val="false"/>
                <w:i w:val="false"/>
                <w:iCs w:val="false"/>
              </w:rPr>
              <w:t xml:space="preserve"> </w:t>
            </w:r>
            <w:r>
              <w:rPr>
                <w:b w:val="false"/>
                <w:bCs w:val="false"/>
                <w:i w:val="false"/>
                <w:iCs w:val="false"/>
              </w:rPr>
              <w:t>for the manor of Northleigh.</w:t>
            </w:r>
          </w:p>
        </w:tc>
      </w:tr>
    </w:tbl>
    <w:p>
      <w:pPr>
        <w:pStyle w:val="Normal"/>
        <w:tabs>
          <w:tab w:val="clear" w:pos="408"/>
        </w:tabs>
        <w:spacing w:lineRule="auto" w:line="360"/>
        <w:ind w:left="0" w:right="0" w:hanging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tabs>
          <w:tab w:val="clear" w:pos="408"/>
        </w:tabs>
        <w:spacing w:lineRule="auto" w:line="360"/>
        <w:ind w:left="0" w:right="0" w:hanging="0"/>
        <w:jc w:val="center"/>
        <w:rPr/>
      </w:pPr>
      <w:r>
        <w:rPr/>
      </w:r>
    </w:p>
    <w:sectPr>
      <w:footerReference w:type="default" r:id="rId2"/>
      <w:footnotePr>
        <w:numFmt w:val="decimal"/>
      </w:footnotePr>
      <w:type w:val="nextPage"/>
      <w:pgSz w:w="11906" w:h="16838"/>
      <w:pgMar w:left="2268" w:right="1417" w:header="0" w:top="2268" w:footer="2268" w:bottom="282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/>
    </w:pPr>
    <w:r>
      <w:rPr/>
      <w:fldChar w:fldCharType="begin"/>
    </w:r>
    <w:r>
      <w:rPr/>
      <w:instrText> PAGE \* roman </w:instrText>
    </w:r>
    <w:r>
      <w:rPr/>
      <w:fldChar w:fldCharType="separate"/>
    </w:r>
    <w:r>
      <w:rPr/>
      <w:t>iii</w:t>
    </w:r>
    <w:r>
      <w:rPr/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"/>
        <w:rPr/>
      </w:pPr>
      <w:r>
        <w:rPr>
          <w:rStyle w:val="FootnoteCharacters"/>
        </w:rPr>
        <w:footnoteRef/>
      </w:r>
      <w:r>
        <w:rPr/>
        <w:tab/>
        <w:t xml:space="preserve">The table is based closely on the data contained in Jurkowski, Ramsay and Renton, </w:t>
      </w:r>
      <w:r>
        <w:rPr>
          <w:i/>
          <w:iCs/>
        </w:rPr>
        <w:t>English Monastic Estates</w:t>
      </w:r>
      <w:r>
        <w:rPr/>
        <w:t xml:space="preserve">, </w:t>
      </w:r>
      <w:r>
        <w:rPr/>
        <w:t>I</w:t>
      </w:r>
      <w:r>
        <w:rPr/>
        <w:t>, pp. 62-3.</w:t>
      </w:r>
    </w:p>
  </w:footnote>
</w:footnotes>
</file>

<file path=word/settings.xml><?xml version="1.0" encoding="utf-8"?>
<w:settings xmlns:w="http://schemas.openxmlformats.org/wordprocessingml/2006/main">
  <w:zoom w:percent="110"/>
  <w:defaultTabStop w:val="4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kern w:val="2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Mangal"/>
      <w:color w:val="auto"/>
      <w:kern w:val="2"/>
      <w:sz w:val="24"/>
      <w:szCs w:val="24"/>
      <w:lang w:val="en-GB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0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TextBody"/>
    <w:qFormat/>
    <w:pPr>
      <w:numPr>
        <w:ilvl w:val="0"/>
        <w:numId w:val="0"/>
      </w:num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Heading"/>
    <w:next w:val="TextBody"/>
    <w:qFormat/>
    <w:pPr>
      <w:numPr>
        <w:ilvl w:val="0"/>
        <w:numId w:val="0"/>
      </w:numPr>
      <w:outlineLvl w:val="2"/>
    </w:pPr>
    <w:rPr>
      <w:b/>
      <w:bCs/>
      <w:sz w:val="28"/>
      <w:szCs w:val="28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NumberingSymbols">
    <w:name w:val="Numbering Symbols"/>
    <w:qFormat/>
    <w:rPr/>
  </w:style>
  <w:style w:type="character" w:styleId="DefaultParagraphFont">
    <w:name w:val="Default Paragraph Font"/>
    <w:qFormat/>
    <w:rPr/>
  </w:style>
  <w:style w:type="character" w:styleId="StrongEmphasis">
    <w:name w:val="Strong Emphasis"/>
    <w:qFormat/>
    <w:rPr>
      <w:b/>
      <w:bCs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IndexLink">
    <w:name w:val="Index Link"/>
    <w:qFormat/>
    <w:rPr/>
  </w:style>
  <w:style w:type="character" w:styleId="PageNumber">
    <w:name w:val="Page Number"/>
    <w:rPr/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HeaderandFooter">
    <w:name w:val="Header and Footer"/>
    <w:basedOn w:val="Normal"/>
    <w:qFormat/>
    <w:pPr>
      <w:suppressLineNumbers/>
      <w:tabs>
        <w:tab w:val="clear" w:pos="4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suppressLineNumbers/>
      <w:tabs>
        <w:tab w:val="clear" w:pos="408"/>
        <w:tab w:val="center" w:pos="4819" w:leader="none"/>
        <w:tab w:val="right" w:pos="9638" w:leader="none"/>
      </w:tabs>
    </w:pPr>
    <w:rPr/>
  </w:style>
  <w:style w:type="paragraph" w:styleId="Footnote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">
    <w:name w:val="Header"/>
    <w:basedOn w:val="Normal"/>
    <w:pPr>
      <w:suppressLineNumbers/>
      <w:tabs>
        <w:tab w:val="clear" w:pos="408"/>
        <w:tab w:val="center" w:pos="4819" w:leader="none"/>
        <w:tab w:val="right" w:pos="9638" w:leader="none"/>
      </w:tabs>
    </w:pPr>
    <w:rPr/>
  </w:style>
  <w:style w:type="paragraph" w:styleId="IndexHeading">
    <w:name w:val="Index Heading"/>
    <w:basedOn w:val="Heading"/>
    <w:pPr>
      <w:suppressLineNumbers/>
      <w:ind w:left="0" w:hanging="0"/>
    </w:pPr>
    <w:rPr>
      <w:b/>
      <w:bCs/>
      <w:sz w:val="32"/>
      <w:szCs w:val="32"/>
    </w:rPr>
  </w:style>
  <w:style w:type="paragraph" w:styleId="ContentsHeading">
    <w:name w:val="TOA Heading"/>
    <w:basedOn w:val="Heading"/>
    <w:pPr>
      <w:suppressLineNumbers/>
      <w:ind w:left="0" w:right="0" w:hanging="0"/>
    </w:pPr>
    <w:rPr>
      <w:b/>
      <w:bCs/>
      <w:sz w:val="32"/>
      <w:szCs w:val="32"/>
    </w:rPr>
  </w:style>
  <w:style w:type="paragraph" w:styleId="Contents1">
    <w:name w:val="TOC 1"/>
    <w:basedOn w:val="Index"/>
    <w:pPr>
      <w:tabs>
        <w:tab w:val="clear" w:pos="408"/>
        <w:tab w:val="right" w:pos="8221" w:leader="dot"/>
      </w:tabs>
      <w:ind w:left="0" w:right="0" w:hanging="0"/>
    </w:pPr>
    <w:rPr/>
  </w:style>
  <w:style w:type="paragraph" w:styleId="Contents3">
    <w:name w:val="TOC 3"/>
    <w:basedOn w:val="Index"/>
    <w:pPr>
      <w:tabs>
        <w:tab w:val="clear" w:pos="408"/>
        <w:tab w:val="right" w:pos="8221" w:leader="dot"/>
      </w:tabs>
      <w:ind w:left="566" w:right="0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7783</TotalTime>
  <Application>LibreOfficeDev/7.0.0.0.alpha0$Linux_X86_64 LibreOffice_project/1e276bae8144c1c5dff6102f848362914bf89a0a</Application>
  <Pages>3</Pages>
  <Words>397</Words>
  <CharactersWithSpaces>2506</CharactersWithSpaces>
  <Paragraphs>100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2013-08-13T11:47:09Z</dcterms:created>
  <dc:creator/>
  <dc:description/>
  <dc:language>en-GB</dc:language>
  <cp:lastModifiedBy/>
  <cp:lastPrinted>2013-08-27T18:28:44Z</cp:lastPrinted>
  <dcterms:modified xsi:type="dcterms:W3CDTF">2013-08-29T15:44:10Z</dcterms:modified>
  <cp:revision>131</cp:revision>
  <dc:subject/>
  <dc:title/>
</cp:coreProperties>
</file>