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вход стационарной линейной системы с частотной характеристикой </w:t>
      </w:r>
      <m:oMathPara>
        <m:oMathParaPr/>
        <m:oMath>
          <m:r>
            <w:rPr>
              <w:rFonts w:ascii="Cambria Math" w:hAnsi="Cambria Math" w:cs="Times New Roman"/>
              <w:sz w:val="28"/>
              <w:szCs w:val="28"/>
            </w:rPr>
            <m:rPr/>
            <m:t>W(jω)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поступает стационарный случайный процесс </w:t>
      </w:r>
      <m:oMathPara>
        <m:oMathParaPr/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X(t)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 ковариационной функцией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K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x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(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τ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)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Требуется определить: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 Спектральную плотность выходного сигнала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(ω)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 Дисперсию выходного сигнала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D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установившемся режиме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Дано: 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Студенты, фамилии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(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Г</w:t>
      </w:r>
      <w:r>
        <w:rPr>
          <w:rFonts w:ascii="Times New Roman" w:hAnsi="Times New Roman" w:cs="Times New Roman" w:eastAsia="Calibri"/>
          <w:sz w:val="28"/>
          <w:szCs w:val="28"/>
        </w:rPr>
        <w:t xml:space="preserve">АЛЕЕВА)</w:t>
      </w:r>
      <w:r>
        <w:rPr>
          <w:rFonts w:ascii="Times New Roman" w:hAnsi="Times New Roman" w:cs="Times New Roman" w:eastAsia="Calibri"/>
          <w:sz w:val="28"/>
          <w:szCs w:val="28"/>
        </w:rPr>
        <w:t xml:space="preserve"> которых начинаются с букв А, Б, В,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 Г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Д, Е, выполняют контрольное задание для следующих ковариационных функций и частотной характеристики системы:</w:t>
      </w:r>
      <w:r/>
    </w:p>
    <w:p>
      <w:pPr>
        <w:jc w:val="center"/>
        <w:rPr>
          <w:rFonts w:ascii="Times New Roman" w:hAnsi="Times New Roman" w:cs="Times New Roman" w:eastAsia="Calibri"/>
          <w:sz w:val="28"/>
          <w:szCs w:val="28"/>
        </w:rPr>
      </w:pPr>
      <w:r/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K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x</m:t>
              </m:r>
            </m:sub>
          </m:sSub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τ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σ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e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-α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τ</m:t>
                  </m:r>
                </m:e>
              </m:d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 ,</m:t>
          </m:r>
        </m:oMath>
      </m:oMathPara>
      <w:r/>
      <w:r/>
    </w:p>
    <w:p>
      <w:pPr>
        <w:jc w:val="center"/>
        <w:rPr>
          <w:rFonts w:ascii="Times New Roman" w:hAnsi="Times New Roman" w:cs="Times New Roman" w:eastAsia="Calibri"/>
          <w:sz w:val="28"/>
          <w:szCs w:val="28"/>
        </w:rPr>
      </w:pPr>
      <w:r/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rPr/>
            <m:t>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K(1+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jω)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jω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 .</m:t>
          </m:r>
        </m:oMath>
      </m:oMathPara>
      <w:r/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исходные данные к контрольной работе </w:t>
      </w:r>
      <m:oMathPara>
        <m:oMathParaPr/>
        <m:oMath>
          <m:r>
            <w:rPr>
              <w:rFonts w:ascii="Cambria Math" w:hAnsi="Cambria Math" w:cs="Times New Roman"/>
              <w:sz w:val="28"/>
              <w:szCs w:val="28"/>
            </w:rPr>
            <m:rPr/>
            <m:t>σ,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 α, β, </m:t>
          </m:r>
          <m:r>
            <w:rPr>
              <w:rFonts w:ascii="Cambria Math" w:hAnsi="Cambria Math" w:cs="Times New Roman" w:eastAsia="Calibri"/>
              <w:sz w:val="28"/>
              <w:szCs w:val="28"/>
              <w:lang w:val="en-US"/>
            </w:rPr>
            <m:rPr/>
            <m:t>k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, 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, 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,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необходимые для определения ковариационной функции и частотной характеристики системы, из таблицы 1 в соответствии с вариантом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2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jc w:val="right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Таблица 1</w:t>
      </w:r>
      <w:r/>
    </w:p>
    <w:tbl>
      <w:tblPr>
        <w:tblStyle w:val="117"/>
        <w:tblW w:w="0" w:type="auto"/>
        <w:tblLook w:val="04A0" w:firstRow="1" w:lastRow="0" w:firstColumn="1" w:lastColumn="0" w:noHBand="0" w:noVBand="1"/>
      </w:tblPr>
      <w:tblGrid>
        <w:gridCol w:w="1285"/>
        <w:gridCol w:w="1184"/>
        <w:gridCol w:w="1184"/>
        <w:gridCol w:w="1183"/>
        <w:gridCol w:w="1183"/>
        <w:gridCol w:w="1184"/>
        <w:gridCol w:w="1184"/>
        <w:gridCol w:w="1184"/>
      </w:tblGrid>
      <w:tr>
        <w:trPr/>
        <w:tc>
          <w:tcPr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варианта</w:t>
            </w:r>
            <w:r/>
          </w:p>
        </w:tc>
        <w:tc>
          <w:tcPr>
            <w:gridSpan w:val="3"/>
            <w:tcW w:w="35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параметров</w:t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ковариационной функции входного сигнала, </w:t>
            </w:r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cs="Times New Roman" w:eastAsia="Calibr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eastAsia="Calibri"/>
                        <w:sz w:val="28"/>
                        <w:szCs w:val="28"/>
                      </w:rPr>
                      <m:rPr/>
                      <m:t>K</m:t>
                    </m:r>
                  </m:e>
                  <m:sub>
                    <m:r>
                      <w:rPr>
                        <w:rFonts w:ascii="Cambria Math" w:hAnsi="Cambria Math" w:cs="Times New Roman" w:eastAsia="Calibri"/>
                        <w:sz w:val="28"/>
                        <w:szCs w:val="28"/>
                      </w:rPr>
                      <m:rPr/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 w:eastAsia="Calibr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 w:eastAsia="Calibri"/>
                        <w:sz w:val="28"/>
                        <w:szCs w:val="28"/>
                      </w:rPr>
                      <m:rPr/>
                      <m:t>τ</m:t>
                    </m:r>
                  </m:e>
                </m:d>
              </m:oMath>
            </m:oMathPara>
            <w:r/>
            <w:r/>
          </w:p>
        </w:tc>
        <w:tc>
          <w:tcPr>
            <w:gridSpan w:val="4"/>
            <w:tcW w:w="47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Значения   параметров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частотной характеристики системы, </w:t>
            </w:r>
            <m:oMathPara>
              <m:oMathParaPr/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W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jω</m:t>
                    </m:r>
                  </m:e>
                </m:d>
              </m:oMath>
            </m:oMathPara>
            <w:r/>
            <w:r/>
          </w:p>
        </w:tc>
      </w:tr>
      <w:tr>
        <w:trPr/>
        <w:tc>
          <w:tcPr>
            <w:tcW w:w="128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/>
            <m:oMathPara>
              <m:oMathParaPr/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σ, м</m:t>
                </m:r>
              </m:oMath>
            </m:oMathPara>
            <w:r/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/>
            <m:oMathPara>
              <m:oMathParaPr/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α,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с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-1</m:t>
                    </m:r>
                  </m:sup>
                </m:sSup>
              </m:oMath>
            </m:oMathPara>
            <w:r/>
            <w:r/>
          </w:p>
        </w:tc>
        <w:tc>
          <w:tcPr>
            <w:tcW w:w="11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/>
            <m:oMathPara>
              <m:oMathParaPr/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β,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с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-1</m:t>
                    </m:r>
                  </m:sup>
                </m:sSup>
              </m:oMath>
            </m:oMathPara>
            <w:r/>
            <w:r/>
          </w:p>
        </w:tc>
        <w:tc>
          <w:tcPr>
            <w:tcW w:w="11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K</w:t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/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, с</m:t>
                </m:r>
              </m:oMath>
            </m:oMathPara>
            <w:r/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/>
            <m:oMathPara>
              <m:oMathParaPr/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rPr/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, с</m:t>
                </m:r>
              </m:oMath>
            </m:oMathPara>
            <w:r/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ξ</w:t>
            </w:r>
            <w:r/>
          </w:p>
        </w:tc>
      </w:tr>
      <w:tr>
        <w:trPr/>
        <w:tc>
          <w:tcPr>
            <w:tcW w:w="12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0.2</w:t>
            </w:r>
            <w:r/>
          </w:p>
        </w:tc>
        <w:tc>
          <w:tcPr>
            <w:tcW w:w="11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0.01</w:t>
            </w:r>
            <w:r/>
          </w:p>
        </w:tc>
        <w:tc>
          <w:tcPr>
            <w:tcW w:w="11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0.99</w:t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0.5</w:t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</w:t>
            </w:r>
            <w:r/>
          </w:p>
        </w:tc>
        <w:tc>
          <w:tcPr>
            <w:tcW w:w="11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0.714</w:t>
            </w:r>
            <w:r/>
          </w:p>
        </w:tc>
      </w:tr>
    </w:tbl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</w:r>
      <w:r/>
    </w:p>
    <w:p>
      <w:pPr>
        <w:pStyle w:val="11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Спектральная плотность входного сигнала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Para>
        <m:oMathParaPr/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rPr/>
            <m:t>(ω)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(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 преобразованию </w:t>
      </w:r>
      <w:r>
        <w:rPr>
          <w:rFonts w:ascii="Times New Roman" w:hAnsi="Times New Roman" w:cs="Times New Roman" w:eastAsia="Calibri"/>
          <w:sz w:val="28"/>
          <w:szCs w:val="28"/>
        </w:rPr>
        <w:t xml:space="preserve">Хинчина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):</w:t>
      </w:r>
      <w:r/>
    </w:p>
    <w:p>
      <w:pPr>
        <w:rPr>
          <w:rFonts w:ascii="Times New Roman" w:hAnsi="Times New Roman" w:cs="Times New Roman" w:eastAsia="Calibri"/>
          <w:i/>
          <w:sz w:val="28"/>
          <w:szCs w:val="28"/>
        </w:rPr>
      </w:pPr>
      <w:r/>
      <m:oMathPara>
        <m:oMathParaPr/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X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ω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  <m:nary>
            <m:naryPr>
              <m:grow m:val="false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+∞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-jωτ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rPr/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x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τ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rPr/>
            <m:t>dτ=</m:t>
          </m:r>
          <m:nary>
            <m:naryPr>
              <m:grow m:val="false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+∞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-jωτ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rPr/>
            <m:t>∙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σ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e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-α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τ</m:t>
                  </m:r>
                </m:e>
              </m:d>
            </m:sup>
          </m:sSup>
          <m:r>
            <w:rPr>
              <w:rFonts w:ascii="Cambria Math" w:hAnsi="Cambria Math" w:cs="Times New Roman" w:eastAsia="Calibri"/>
              <w:sz w:val="28"/>
              <w:szCs w:val="28"/>
              <w:lang w:val="en-US"/>
            </w:rPr>
            <m:rPr/>
            <m:t>dτ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=</w:t>
      </w:r>
      <m:oMathPara>
        <m:oMathParaPr/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/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σ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nary>
                <m:naryPr>
                  <m:grow m:val="false"/>
                  <m:limLoc m:val="undOvr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-∞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-jωτ+ατ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dτ</m:t>
                  </m:r>
                </m:e>
              </m:nary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nary>
                <m:naryPr>
                  <m:grow m:val="false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+∞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-jωτ-ατ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dτ</m:t>
                  </m:r>
                </m:e>
              </m:nary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σ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nary>
                <m:naryPr>
                  <m:grow m:val="false"/>
                  <m:limLoc m:val="undOvr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-∞</m:t>
                  </m:r>
                </m:sub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α-jω</m:t>
                          </m:r>
                        </m:e>
                      </m:d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τ</m:t>
                      </m:r>
                    </m:sup>
                  </m:sSup>
                </m:e>
              </m:nary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dt+</m:t>
              </m:r>
              <m:nary>
                <m:naryPr>
                  <m:grow m:val="false"/>
                  <m:limLoc m:val="undOvr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</m:t>
                  </m:r>
                </m:sub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+∞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α+jω</m:t>
                          </m:r>
                        </m:e>
                      </m:d>
                    </m:sup>
                  </m:s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dt</m:t>
                  </m:r>
                </m:e>
              </m:nary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σ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d>
                <m:dPr>
                  <m:begChr m:val=""/>
                  <m:endChr m:val="|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e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 w:cs="Times New Roman" w:eastAsia="Calibr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 w:eastAsia="Calibri"/>
                                  <w:sz w:val="28"/>
                                  <w:szCs w:val="28"/>
                                </w:rPr>
                                <m:rPr/>
                                <m:t>α-jω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τ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α-jω</m:t>
                      </m:r>
                    </m:den>
                  </m:f>
                </m:e>
              </m:d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  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 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</m:t>
              </m:r>
              <m:d>
                <m:dPr>
                  <m:begChr m:val=""/>
                  <m:endChr m:val="|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 w:eastAsia="Calibr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 w:eastAsia="Calibri"/>
                                  <w:sz w:val="28"/>
                                  <w:szCs w:val="28"/>
                                </w:rPr>
                                <m:rPr/>
                                <m:t>α+jω</m:t>
                              </m:r>
                            </m:e>
                          </m:d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α+jω</m:t>
                      </m:r>
                    </m:den>
                  </m:f>
                </m:e>
              </m:d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    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σ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num>
                <m:den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α-jω</m:t>
                  </m:r>
                </m:den>
              </m:f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-0-0+</m:t>
              </m:r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num>
                <m:den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α+jω</m:t>
                  </m:r>
                </m:den>
              </m:f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α-jω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α+jω</m:t>
              </m:r>
            </m:den>
          </m:f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α+jω</m:t>
                  </m:r>
                </m:e>
              </m:d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α-jω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α-jω</m:t>
                  </m:r>
                </m:e>
              </m:d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α+jω</m:t>
                  </m:r>
                </m:e>
              </m:d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α-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num>
            <m:den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 .</m:t>
          </m:r>
        </m:oMath>
      </m:oMathPara>
      <w:r/>
      <w:r/>
    </w:p>
    <w:p>
      <w:pPr>
        <w:pStyle w:val="118"/>
        <w:numPr>
          <w:ilvl w:val="0"/>
          <w:numId w:val="1"/>
        </w:numPr>
        <w:rPr>
          <w:rFonts w:ascii="Times New Roman" w:hAnsi="Times New Roman" w:cs="Times New Roman" w:eastAsia="Calibri"/>
          <w:sz w:val="28"/>
          <w:szCs w:val="28"/>
          <w:lang w:val="en-US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Спектральная плотность выходного сигнала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(ω)</m:t>
          </m:r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sz w:val="28"/>
          <w:szCs w:val="28"/>
          <w:lang w:val="en-US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W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jω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X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ω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K(1+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jω)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1+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jω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den>
          </m:f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sz w:val="28"/>
          <w:szCs w:val="28"/>
          <w:lang w:val="en-US"/>
        </w:rPr>
      </w:pPr>
      <w:r/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W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jω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r>
            <w:rPr>
              <w:rFonts w:ascii="Cambria Math" w:hAnsi="Cambria Math" w:cs="Times New Roman"/>
              <w:sz w:val="28"/>
              <w:szCs w:val="28"/>
            </w:rPr>
            <m:rPr/>
            <m:t>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rPr/>
            <m:t>∙W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-jω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jω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jω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jω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jω</m:t>
                  </m:r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(1+</m:t>
              </m:r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(1+</m:t>
              </m:r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)</m:t>
              </m:r>
            </m:den>
          </m:f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  <w:lang w:val="en-US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  <w:lang w:val="en-US"/>
            </w:rPr>
            <m:rPr/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(1+</m:t>
              </m:r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(1+</m:t>
              </m:r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)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den>
          </m:f>
        </m:oMath>
      </m:oMathPara>
      <w:r/>
      <w:r/>
    </w:p>
    <w:p>
      <w:pPr>
        <w:pStyle w:val="118"/>
        <w:numPr>
          <w:ilvl w:val="0"/>
          <w:numId w:val="1"/>
        </w:num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Дисперсия выходного сигнала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D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установившемся режиме:</w:t>
      </w:r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  <w:lang w:val="en-US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D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2π</m:t>
              </m:r>
            </m:den>
          </m:f>
          <m:nary>
            <m:naryPr>
              <m:grow m:val="false"/>
              <m:limLoc m:val="undOvr"/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-∞</m:t>
              </m:r>
            </m:sub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+∞</m:t>
              </m:r>
            </m:sup>
            <m:e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  <w:lang w:val="en-US"/>
                    </w:rPr>
                    <m:rPr/>
                    <m:t>S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</m:d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dω=</m:t>
              </m:r>
            </m:e>
          </m:nary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∙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π</m:t>
              </m:r>
            </m:den>
          </m:f>
          <m:nary>
            <m:naryPr>
              <m:grow m:val="false"/>
              <m:limLoc m:val="undOvr"/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-∞</m:t>
              </m:r>
            </m:sub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K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1+</m:t>
                      </m:r>
                      <m:sSubSup>
                        <m:sSubSupPr>
                          <m:alnScr m:val="false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2</m:t>
                          </m:r>
                        </m:sup>
                      </m:sSub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2</m:t>
                          </m:r>
                        </m:sup>
                      </m:sSup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1+</m:t>
                      </m:r>
                      <m:sSubSup>
                        <m:sSubSupPr>
                          <m:alnScr m:val="false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2</m:t>
                          </m:r>
                        </m:sup>
                      </m:sSub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rPr/>
                            <m:t>2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∙</m:t>
              </m:r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σ</m:t>
                      </m:r>
                    </m:e>
                    <m:sup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α</m:t>
                      </m:r>
                    </m:e>
                    <m:sup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ω</m:t>
                      </m:r>
                    </m:e>
                    <m:sup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dω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=</m:t>
              </m:r>
            </m:e>
          </m:nary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π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∙2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den>
          </m:f>
          <m:nary>
            <m:naryPr>
              <m:grow m:val="false"/>
              <m:limLoc m:val="undOvr"/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-∞</m:t>
              </m:r>
            </m:sub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(1+</m:t>
                  </m:r>
                  <m:sSubSup>
                    <m:sSubSupPr>
                      <m:alnScr m:val="false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ω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)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(1+</m:t>
                  </m:r>
                  <m:sSubSup>
                    <m:sSubSupPr>
                      <m:alnScr m:val="false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ω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)∙</m:t>
                  </m:r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(α</m:t>
                      </m:r>
                    </m:e>
                    <m:sup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ω</m:t>
                      </m:r>
                    </m:e>
                    <m:sup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p>
                  </m:s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)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dω</m:t>
              </m:r>
            </m:e>
          </m:nary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left="36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Числитель:</w:t>
      </w:r>
      <w:r/>
    </w:p>
    <w:p>
      <w:pPr>
        <w:ind w:left="360"/>
        <w:rPr>
          <w:rFonts w:ascii="Times New Roman" w:hAnsi="Times New Roman" w:cs="Times New Roman" w:eastAsia="Calibri"/>
          <w:sz w:val="28"/>
          <w:szCs w:val="28"/>
        </w:rPr>
      </w:pPr>
      <w:r/>
      <m:oMathPara>
        <m:oMathParaPr/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G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(jω)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2n-2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(jω)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2n-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4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. ..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n-1</m:t>
              </m:r>
            </m:sub>
          </m:sSub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  <w:lang w:val="en-US"/>
        </w:rPr>
      </w:pPr>
      <w:r/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G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r>
            <w:rPr>
              <w:rFonts w:ascii="Cambria Math" w:hAnsi="Cambria Math" w:cs="Times New Roman"/>
              <w:sz w:val="28"/>
              <w:szCs w:val="28"/>
            </w:rPr>
            <m:rPr/>
            <m:t>1+</m:t>
          </m:r>
          <m:sSubSup>
            <m:sSubSupPr>
              <m:alnScr m:val="false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ω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rPr/>
            <m:t>=</m:t>
          </m:r>
          <m:sSubSup>
            <m:sSubSupPr>
              <m:alnScr m:val="false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ω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rPr/>
            <m:t>+1=-</m:t>
          </m:r>
          <m:sSubSup>
            <m:sSubSupPr>
              <m:alnScr m:val="false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jω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rPr/>
            <m:t>+1=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jω</m:t>
                  </m:r>
                </m:e>
              </m:d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,</m:t>
          </m:r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</w:rPr>
      </w:pPr>
      <w:r>
        <w:rPr>
          <w:rFonts w:ascii="Times New Roman" w:hAnsi="Times New Roman" w:cs="Times New Roman" w:eastAsia="Calibri"/>
          <w:i/>
          <w:sz w:val="28"/>
          <w:szCs w:val="28"/>
        </w:rPr>
        <w:t xml:space="preserve">где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r>
            <w:rPr>
              <w:rFonts w:ascii="Cambria Math" w:hAnsi="Cambria Math" w:cs="Times New Roman"/>
              <w:sz w:val="28"/>
              <w:szCs w:val="28"/>
            </w:rPr>
            <m:rPr/>
            <m:t>-</m:t>
          </m:r>
          <m:sSubSup>
            <m:sSubSupPr>
              <m:alnScr m:val="false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bSup>
        </m:oMath>
      </m:oMathPara>
      <w:r>
        <w:rPr>
          <w:rFonts w:ascii="Times New Roman" w:hAnsi="Times New Roman" w:cs="Times New Roman" w:eastAsia="Calibri"/>
          <w:i/>
          <w:sz w:val="28"/>
          <w:szCs w:val="28"/>
        </w:rPr>
        <w:t xml:space="preserve">,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b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=1</m:t>
          </m:r>
        </m:oMath>
      </m:oMathPara>
      <w:r>
        <w:rPr>
          <w:rFonts w:ascii="Times New Roman" w:hAnsi="Times New Roman" w:cs="Times New Roman" w:eastAsia="Calibri"/>
          <w:i/>
          <w:sz w:val="28"/>
          <w:szCs w:val="28"/>
        </w:rPr>
        <w:t xml:space="preserve"> .</w:t>
      </w:r>
      <w:r/>
    </w:p>
    <w:p>
      <w:pPr>
        <w:rPr>
          <w:rFonts w:ascii="Times New Roman" w:hAnsi="Times New Roman" w:cs="Times New Roman" w:eastAsia="Calibri"/>
          <w:i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Знаменатель:</w:t>
      </w:r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</w:rPr>
      </w:pPr>
      <w:r/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A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A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jω</m:t>
                  </m:r>
                </m:e>
              </m:d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jω</m:t>
                  </m:r>
                </m:e>
              </m:d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-1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 . . . 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;</m:t>
          </m:r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</w:rPr>
      </w:pPr>
      <w:r/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A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A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r>
            <w:rPr>
              <w:rFonts w:ascii="Cambria Math" w:hAnsi="Cambria Math" w:cs="Times New Roman"/>
              <w:sz w:val="28"/>
              <w:szCs w:val="28"/>
            </w:rPr>
            <m:rPr/>
            <m:t>(1+</m:t>
          </m:r>
          <m:sSubSup>
            <m:sSubSupPr>
              <m:alnScr m:val="false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ω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rPr/>
            <m:t>)∙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(α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)∙</m:t>
          </m:r>
          <m:r>
            <w:rPr>
              <w:rFonts w:ascii="Cambria Math" w:hAnsi="Cambria Math" w:cs="Times New Roman"/>
              <w:sz w:val="28"/>
              <w:szCs w:val="28"/>
            </w:rPr>
            <m:rPr/>
            <m:t>(1-</m:t>
          </m:r>
          <m:sSubSup>
            <m:sSubSupPr>
              <m:alnScr m:val="false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ω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rPr/>
            <m:t>)∙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(α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-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)=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1+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  <w:lang w:val="en-US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1-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α+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α-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;</m:t>
          </m:r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  <w:lang w:val="en-US"/>
        </w:rPr>
      </w:pPr>
      <w:r/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A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1+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  <w:lang w:val="en-US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=α+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jω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jω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α+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jωjω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α+jω+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jωα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(j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ω)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(j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ω)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jω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+α=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  <w:lang w:val="en-US"/>
            </w:rPr>
            <m:rPr/>
            <m:t>=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0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(j</m:t>
          </m:r>
          <m:sSup>
            <m:sSup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ω)</m:t>
              </m:r>
            </m:e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p>
          </m:sSup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jω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+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,</m:t>
          </m:r>
        </m:oMath>
      </m:oMathPara>
      <w:r/>
      <w:r/>
    </w:p>
    <w:p>
      <w:pPr>
        <w:rPr>
          <w:rFonts w:ascii="Times New Roman" w:hAnsi="Times New Roman" w:cs="Times New Roman" w:eastAsia="Calibri"/>
          <w:i/>
          <w:sz w:val="28"/>
          <w:szCs w:val="28"/>
        </w:rPr>
      </w:pPr>
      <w:r>
        <w:rPr>
          <w:rFonts w:ascii="Times New Roman" w:hAnsi="Times New Roman" w:cs="Times New Roman" w:eastAsia="Calibri"/>
          <w:i/>
          <w:sz w:val="28"/>
          <w:szCs w:val="28"/>
        </w:rPr>
        <w:t xml:space="preserve">     где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T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,</m:t>
          </m:r>
        </m:oMath>
      </m:oMathPara>
      <w:r>
        <w:rPr>
          <w:rFonts w:ascii="Times New Roman" w:hAnsi="Times New Roman" w:cs="Times New Roman" w:eastAsia="Calibri"/>
          <w:i/>
          <w:sz w:val="28"/>
          <w:szCs w:val="28"/>
        </w:rPr>
        <w:t xml:space="preserve">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e>
          </m:d>
        </m:oMath>
      </m:oMathPara>
      <w:r>
        <w:rPr>
          <w:rFonts w:ascii="Times New Roman" w:hAnsi="Times New Roman" w:cs="Times New Roman" w:eastAsia="Calibri"/>
          <w:i/>
          <w:sz w:val="28"/>
          <w:szCs w:val="28"/>
        </w:rPr>
        <w:t xml:space="preserve">,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a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=α</m:t>
          </m:r>
        </m:oMath>
      </m:oMathPara>
      <w:r>
        <w:rPr>
          <w:rFonts w:ascii="Times New Roman" w:hAnsi="Times New Roman" w:cs="Times New Roman" w:eastAsia="Calibri"/>
          <w:i/>
          <w:sz w:val="28"/>
          <w:szCs w:val="28"/>
        </w:rPr>
        <w:t xml:space="preserve">.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Представим подынтегральное выражение в виде:</w:t>
      </w:r>
      <w:r/>
    </w:p>
    <w:p>
      <w:pPr>
        <w:rPr>
          <w:rFonts w:ascii="Times New Roman" w:hAnsi="Times New Roman" w:cs="Times New Roman" w:eastAsia="Calibri"/>
          <w:i/>
          <w:sz w:val="28"/>
          <w:szCs w:val="28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G</m:t>
              </m:r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jω</m:t>
                  </m:r>
                </m:e>
              </m:d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jω</m:t>
                  </m:r>
                </m:e>
              </m:d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A</m:t>
              </m:r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-jω</m:t>
                  </m:r>
                </m:e>
              </m:d>
            </m:den>
          </m:f>
        </m:oMath>
      </m:oMathPara>
      <w:r/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Обозначим через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I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</m:sub>
          </m:sSub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искомый интеграл</w:t>
      </w:r>
      <w:r>
        <w:rPr>
          <w:rFonts w:ascii="Times New Roman" w:hAnsi="Times New Roman" w:cs="Times New Roman" w:eastAsia="Calibri"/>
          <w:sz w:val="28"/>
          <w:szCs w:val="28"/>
        </w:rPr>
        <w:t xml:space="preserve">:</w:t>
      </w:r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I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2π</m:t>
              </m:r>
            </m:den>
          </m:f>
          <m:nary>
            <m:naryPr>
              <m:grow m:val="false"/>
              <m:limLoc m:val="undOvr"/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-∞</m:t>
              </m:r>
            </m:sub>
            <m: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+∞</m:t>
              </m:r>
            </m:sup>
            <m:e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  <w:lang w:val="en-US"/>
                    </w:rPr>
                    <m:rPr/>
                    <m:t>S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</m:d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dω=</m:t>
              </m:r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num>
                <m:den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2π</m:t>
                  </m:r>
                </m:den>
              </m:f>
              <m:nary>
                <m:naryPr>
                  <m:grow m:val="false"/>
                  <m:limLoc m:val="undOvr"/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-∞</m:t>
                  </m:r>
                </m:sub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+∞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G</m:t>
                      </m:r>
                      <m:d>
                        <m:d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jω</m:t>
                          </m:r>
                        </m:e>
                      </m:d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  <w:lang w:val="en-US"/>
                        </w:rPr>
                        <m:rPr/>
                        <m:t>dω</m:t>
                      </m:r>
                    </m:num>
                    <m:den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A</m:t>
                      </m:r>
                      <m:d>
                        <m:d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jω</m:t>
                          </m:r>
                        </m:e>
                      </m:d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A</m:t>
                      </m:r>
                      <m:d>
                        <m:dPr>
                          <m:ctrlPr>
                            <w:rPr>
                              <w:rFonts w:ascii="Cambria Math" w:hAnsi="Cambria Math" w:cs="Times New Roman" w:eastAsia="Calibr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 w:eastAsia="Calibri"/>
                              <w:sz w:val="28"/>
                              <w:szCs w:val="28"/>
                            </w:rPr>
                            <m:rPr/>
                            <m:t>-jω</m:t>
                          </m:r>
                        </m:e>
                      </m:d>
                    </m:den>
                  </m:f>
                </m:e>
              </m:nary>
            </m:e>
          </m:nary>
        </m:oMath>
      </m:oMathPara>
      <w:r/>
      <w:r/>
    </w:p>
    <w:p>
      <w:pPr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Интеграл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I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 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табулирован и определяется следующей формулой:</w:t>
      </w:r>
      <w:r/>
    </w:p>
    <w:p>
      <w:pPr>
        <w:rPr>
          <w:rFonts w:ascii="Cambria Math" w:hAnsi="Cambria Math" w:cs="Times New Roman" w:eastAsia="Calibri"/>
          <w:sz w:val="28"/>
          <w:szCs w:val="28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I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n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b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b>
                  </m:sSub>
                </m:den>
              </m:f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a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a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sub>
              </m:sSub>
            </m:den>
          </m:f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</w:rPr>
      </w:pPr>
      <w:r/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D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π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I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π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-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b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b>
                  </m:sSub>
                </m:den>
              </m:f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a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a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sub>
              </m:sSub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π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∙1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α</m:t>
                  </m:r>
                </m:den>
              </m:f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2∙</m:t>
              </m:r>
              <m:sSub>
                <m:sSub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b>
              </m:s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∙</m:t>
              </m:r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 w:eastAsia="Calibr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 w:eastAsia="Calibri"/>
                          <w:sz w:val="28"/>
                          <w:szCs w:val="28"/>
                        </w:rPr>
                        <m:rPr/>
                        <m:t>2</m:t>
                      </m:r>
                    </m:sub>
                  </m:sSub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+</m:t>
                  </m:r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e>
              </m:d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0.99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∙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∙0.2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3.14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0.5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f>
                <m:f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1.5</m:t>
                  </m:r>
                </m:num>
                <m:den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0.2</m:t>
                  </m:r>
                </m:den>
              </m:f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2∙1.5∙</m:t>
              </m:r>
              <m:d>
                <m:d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1.5</m:t>
                  </m:r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∙0.2+1</m:t>
                  </m:r>
                </m:e>
              </m:d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0.19602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3.14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(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0.25+7.5</m:t>
              </m:r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)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3∙1.3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</m:oMath>
      </m:oMathPara>
      <w:r>
        <w:br/>
      </w:r>
      <m:oMathPara>
        <m:oMathParaPr>
          <m:jc m:val="left"/>
        </m:oMathParaPr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0.19602∙7.75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3.14∙3.9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1.519155</m:t>
              </m:r>
            </m:num>
            <m:den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12.246</m:t>
              </m:r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=0.124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м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.</m:t>
          </m:r>
        </m:oMath>
      </m:oMathPara>
      <w:r/>
      <w:r/>
    </w:p>
    <w:p>
      <w:pPr>
        <w:ind w:left="360"/>
        <w:rPr>
          <w:rFonts w:ascii="Times New Roman" w:hAnsi="Times New Roman" w:cs="Times New Roman" w:eastAsia="Calibri"/>
          <w:i/>
          <w:sz w:val="28"/>
          <w:szCs w:val="28"/>
        </w:rPr>
      </w:pPr>
      <w:r/>
      <m:oMathPara>
        <m:oMathParaPr/>
        <m:oMath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Выводы: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в данной контрльной работе мы нашли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пектральную плотность выходного сигнала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  <w:lang w:val="en-US"/>
                </w:rPr>
                <m:rPr/>
                <m:t>S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ω</m:t>
              </m:r>
            </m:e>
          </m:d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(1+</m:t>
              </m:r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(1+</m:t>
              </m:r>
              <m:sSubSup>
                <m:sSubSupPr>
                  <m:alnScr m:val="false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rPr/>
                <m:t>)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rPr/>
            <m:t>∙</m:t>
          </m:r>
          <m:f>
            <m:f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2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σ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α</m:t>
              </m:r>
            </m:num>
            <m:den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α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+</m:t>
              </m:r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ω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den>
          </m:f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 ,</m:t>
          </m:r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исперсию выходного сигнала </w:t>
      </w:r>
      <m:oMathPara>
        <m:oMathParaPr/>
        <m:oMath>
          <m:sSub>
            <m:sSub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D</m:t>
              </m:r>
            </m:e>
            <m:sub>
              <m:r>
                <w:rPr>
                  <w:rFonts w:ascii="Cambria Math" w:hAnsi="Cambria Math" w:cs="Times New Roman" w:eastAsia="Calibri"/>
                  <w:sz w:val="28"/>
                  <w:szCs w:val="28"/>
                </w:rPr>
                <m:rPr/>
                <m:t>Y</m:t>
              </m:r>
            </m:sub>
          </m:sSub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=</m:t>
          </m:r>
          <m:r>
            <w:rPr>
              <w:rFonts w:ascii="Cambria Math" w:hAnsi="Cambria Math" w:cs="Times New Roman" w:eastAsia="Calibri"/>
              <w:sz w:val="28"/>
              <w:szCs w:val="28"/>
            </w:rPr>
            <m:rPr/>
            <m:t>0.124</m:t>
          </m:r>
          <m:d>
            <m:dPr>
              <m:ctrlPr>
                <w:rPr>
                  <w:rFonts w:ascii="Cambria Math" w:hAnsi="Cambria Math" w:cs="Times New Roman" w:eastAsia="Calibri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 w:eastAsia="Calibri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м</m:t>
                  </m:r>
                </m:e>
                <m:sup>
                  <m:r>
                    <w:rPr>
                      <w:rFonts w:ascii="Cambria Math" w:hAnsi="Cambria Math" w:cs="Times New Roman" w:eastAsia="Calibri"/>
                      <w:sz w:val="28"/>
                      <w:szCs w:val="28"/>
                    </w:rPr>
                    <m:rPr/>
                    <m:t>2</m:t>
                  </m:r>
                </m:sup>
              </m:sSup>
            </m:e>
          </m:d>
        </m:oMath>
      </m:oMathPara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установившемся режиме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sectPr>
      <w:footnotePr/>
      <w:type w:val="nextPage"/>
      <w:pgSz w:w="11906" w:h="16838"/>
      <w:pgMar w:top="1134" w:right="850" w:bottom="1134" w:left="1701" w:gutter="0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Cambria Math">
    <w:panose1 w:val="0204050305040603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clear" w:color="auto" w:fill="auto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110"/>
    <w:next w:val="110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</w:pPr>
  </w:style>
  <w:style w:type="paragraph" w:styleId="12">
    <w:name w:val="Heading 2"/>
    <w:basedOn w:val="110"/>
    <w:next w:val="110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</w:pPr>
  </w:style>
  <w:style w:type="paragraph" w:styleId="13">
    <w:name w:val="Heading 3"/>
    <w:basedOn w:val="110"/>
    <w:next w:val="110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</w:pPr>
  </w:style>
  <w:style w:type="paragraph" w:styleId="14">
    <w:name w:val="Heading 4"/>
    <w:basedOn w:val="110"/>
    <w:next w:val="110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</w:pPr>
  </w:style>
  <w:style w:type="paragraph" w:styleId="15">
    <w:name w:val="Heading 5"/>
    <w:basedOn w:val="110"/>
    <w:next w:val="110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</w:pPr>
  </w:style>
  <w:style w:type="paragraph" w:styleId="16">
    <w:name w:val="Heading 6"/>
    <w:basedOn w:val="110"/>
    <w:next w:val="110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</w:pPr>
  </w:style>
  <w:style w:type="paragraph" w:styleId="17">
    <w:name w:val="Heading 7"/>
    <w:basedOn w:val="110"/>
    <w:next w:val="110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</w:pPr>
  </w:style>
  <w:style w:type="paragraph" w:styleId="18">
    <w:name w:val="Heading 8"/>
    <w:basedOn w:val="110"/>
    <w:next w:val="110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</w:pPr>
  </w:style>
  <w:style w:type="paragraph" w:styleId="19">
    <w:name w:val="Heading 9"/>
    <w:basedOn w:val="110"/>
    <w:next w:val="110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</w:pPr>
  </w:style>
  <w:style w:type="paragraph" w:styleId="22">
    <w:name w:val="No Spacing"/>
    <w:basedOn w:val="110"/>
    <w:qFormat/>
    <w:uiPriority w:val="1"/>
    <w:rPr>
      <w:color w:val="000000"/>
    </w:rPr>
    <w:pPr>
      <w:spacing w:lineRule="auto" w:line="240" w:after="0"/>
    </w:pPr>
  </w:style>
  <w:style w:type="paragraph" w:styleId="23">
    <w:name w:val="Title"/>
    <w:basedOn w:val="110"/>
    <w:next w:val="110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</w:pPr>
  </w:style>
  <w:style w:type="paragraph" w:styleId="24">
    <w:name w:val="Subtitle"/>
    <w:basedOn w:val="110"/>
    <w:next w:val="110"/>
    <w:qFormat/>
    <w:uiPriority w:val="11"/>
    <w:rPr>
      <w:i/>
      <w:color w:val="444444"/>
      <w:sz w:val="52"/>
    </w:rPr>
    <w:pPr>
      <w:spacing w:lineRule="auto" w:line="240"/>
    </w:pPr>
  </w:style>
  <w:style w:type="paragraph" w:styleId="25">
    <w:name w:val="Quote"/>
    <w:basedOn w:val="110"/>
    <w:next w:val="110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6">
    <w:name w:val="Intense Quote"/>
    <w:basedOn w:val="110"/>
    <w:next w:val="110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7">
    <w:name w:val="Header"/>
    <w:basedOn w:val="110"/>
    <w:uiPriority w:val="99"/>
    <w:unhideWhenUsed/>
    <w:rPr>
      <w:color w:val="000000"/>
      <w:sz w:val="22"/>
    </w:rPr>
    <w:pPr>
      <w:spacing w:lineRule="auto" w:line="240" w:after="0"/>
      <w:tabs>
        <w:tab w:val="center" w:pos="7143"/>
        <w:tab w:val="right" w:pos="14287"/>
      </w:tabs>
    </w:pPr>
  </w:style>
  <w:style w:type="paragraph" w:styleId="28">
    <w:name w:val="Footer"/>
    <w:basedOn w:val="110"/>
    <w:uiPriority w:val="99"/>
    <w:unhideWhenUsed/>
    <w:rPr>
      <w:color w:val="000000"/>
      <w:sz w:val="22"/>
    </w:rPr>
    <w:pPr>
      <w:spacing w:lineRule="auto" w:line="240" w:after="0"/>
      <w:tabs>
        <w:tab w:val="center" w:pos="7143"/>
        <w:tab w:val="right" w:pos="14287"/>
      </w:tabs>
    </w:pPr>
  </w:style>
  <w:style w:type="table" w:styleId="30">
    <w:name w:val="Lined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1">
    <w:name w:val="Lined - Accent 1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2">
    <w:name w:val="Lined - Accent 2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3">
    <w:name w:val="Lined - Accent 3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4">
    <w:name w:val="Lined - Accent 4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5">
    <w:name w:val="Lined - Accent 5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6">
    <w:name w:val="Lined - Accent 6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7">
    <w:name w:val="Bordered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8">
    <w:name w:val="Bordered - Accent 1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9">
    <w:name w:val="Bordered - Accent 2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40">
    <w:name w:val="Bordered - Accent 3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41">
    <w:name w:val="Bordered - Accent 4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42">
    <w:name w:val="Bordered - Accent 5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43">
    <w:name w:val="Bordered - Accent 6"/>
    <w:basedOn w:val="1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44">
    <w:name w:val="Bordered &amp; Lined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5">
    <w:name w:val="Bordered &amp; Lined - Accent 1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6">
    <w:name w:val="Bordered &amp; Lined - Accent 2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7">
    <w:name w:val="Bordered &amp; Lined - Accent 3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48">
    <w:name w:val="Bordered &amp; Lined - Accent 4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9">
    <w:name w:val="Bordered &amp; Lined - Accent 5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0">
    <w:name w:val="Bordered &amp; Lined - Accent 6"/>
    <w:basedOn w:val="1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1">
    <w:name w:val="Hyperlink"/>
    <w:uiPriority w:val="99"/>
    <w:unhideWhenUsed/>
    <w:rPr>
      <w:color w:val="0000FF" w:themeColor="hyperlink"/>
      <w:u w:val="single"/>
    </w:rPr>
  </w:style>
  <w:style w:type="paragraph" w:styleId="52">
    <w:name w:val="footnote text"/>
    <w:basedOn w:val="110"/>
    <w:uiPriority w:val="99"/>
    <w:semiHidden/>
    <w:unhideWhenUsed/>
    <w:rPr>
      <w:sz w:val="20"/>
    </w:rPr>
    <w:pPr>
      <w:spacing w:lineRule="auto" w:line="240" w:after="0"/>
    </w:pPr>
  </w:style>
  <w:style w:type="character" w:styleId="53">
    <w:name w:val="Footnote Text Char"/>
    <w:basedOn w:val="111"/>
    <w:uiPriority w:val="99"/>
    <w:semiHidden/>
    <w:rPr>
      <w:sz w:val="20"/>
    </w:rPr>
  </w:style>
  <w:style w:type="character" w:styleId="54">
    <w:name w:val="footnote reference"/>
    <w:basedOn w:val="111"/>
    <w:uiPriority w:val="99"/>
    <w:semiHidden/>
    <w:unhideWhenUsed/>
    <w:rPr>
      <w:vertAlign w:val="superscript"/>
    </w:rPr>
  </w:style>
  <w:style w:type="paragraph" w:styleId="110" w:default="1">
    <w:name w:val="Normal"/>
    <w:qFormat/>
  </w:style>
  <w:style w:type="character" w:styleId="111" w:default="1">
    <w:name w:val="Default Paragraph Font"/>
    <w:uiPriority w:val="1"/>
    <w:semiHidden/>
    <w:unhideWhenUsed/>
  </w:style>
  <w:style w:type="table" w:styleId="1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" w:default="1">
    <w:name w:val="No List"/>
    <w:uiPriority w:val="99"/>
    <w:semiHidden/>
    <w:unhideWhenUsed/>
  </w:style>
  <w:style w:type="character" w:styleId="114">
    <w:name w:val="Placeholder Text"/>
    <w:basedOn w:val="111"/>
    <w:uiPriority w:val="99"/>
    <w:semiHidden/>
    <w:rPr>
      <w:color w:val="808080"/>
    </w:rPr>
  </w:style>
  <w:style w:type="paragraph" w:styleId="115">
    <w:name w:val="Balloon Text"/>
    <w:basedOn w:val="11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116">
    <w:name w:val="Текст выноски Знак"/>
    <w:basedOn w:val="111"/>
    <w:uiPriority w:val="99"/>
    <w:semiHidden/>
    <w:rPr>
      <w:rFonts w:ascii="Tahoma" w:hAnsi="Tahoma" w:cs="Tahoma"/>
      <w:sz w:val="16"/>
      <w:szCs w:val="16"/>
    </w:rPr>
  </w:style>
  <w:style w:type="table" w:styleId="117">
    <w:name w:val="Table Grid"/>
    <w:basedOn w:val="11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18">
    <w:name w:val="List Paragraph"/>
    <w:basedOn w:val="110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</Application>
  <AppVersion>4.3000</AppVers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